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A6BD2E7" w14:textId="77777777" w:rsidR="0089474F" w:rsidRDefault="0089474F" w:rsidP="0089474F">
      <w:pPr>
        <w:rPr>
          <w:rFonts w:ascii="Noto Sans Kannada" w:eastAsia="Times New Roman" w:hAnsi="Noto Sans Kannada" w:cs="Noto Sans Kannada"/>
          <w:b/>
          <w:bCs/>
        </w:rPr>
      </w:pPr>
    </w:p>
    <w:p w14:paraId="55B12394" w14:textId="77777777" w:rsidR="0089474F" w:rsidRPr="00314717" w:rsidRDefault="0089474F" w:rsidP="0089474F">
      <w:pPr>
        <w:jc w:val="both"/>
        <w:rPr>
          <w:rFonts w:ascii="Noto Sans" w:eastAsia="Times New Roman" w:hAnsi="Noto Sans" w:cs="Noto Sans"/>
          <w:b/>
          <w:bCs/>
          <w:sz w:val="18"/>
          <w:szCs w:val="18"/>
        </w:rPr>
      </w:pPr>
      <w:r w:rsidRPr="00314717">
        <w:rPr>
          <w:rFonts w:ascii="Noto Sans" w:eastAsia="Times New Roman" w:hAnsi="Noto Sans" w:cs="Noto Sans"/>
          <w:b/>
          <w:bCs/>
          <w:sz w:val="18"/>
          <w:szCs w:val="18"/>
        </w:rPr>
        <w:t xml:space="preserve">This one-pager is designed to be white-labeled for use by advocates and policy organizations. You are welcome to keep the </w:t>
      </w:r>
      <w:r w:rsidRPr="00314717">
        <w:rPr>
          <w:rFonts w:ascii="Noto Sans" w:eastAsia="Times New Roman" w:hAnsi="Noto Sans" w:cs="Noto Sans"/>
          <w:b/>
          <w:bCs/>
          <w:color w:val="11698C"/>
          <w:sz w:val="18"/>
          <w:szCs w:val="18"/>
        </w:rPr>
        <w:t>EdFund</w:t>
      </w:r>
      <w:r w:rsidRPr="00314717">
        <w:rPr>
          <w:rFonts w:ascii="Noto Sans" w:eastAsia="Times New Roman" w:hAnsi="Noto Sans" w:cs="Noto Sans"/>
          <w:b/>
          <w:bCs/>
          <w:sz w:val="18"/>
          <w:szCs w:val="18"/>
        </w:rPr>
        <w:t xml:space="preserve"> logo, add your organization’s branding alongside it, or replace it entirely when sharing this resource. Our goal is to make these materials as useful as possible for advancing evidence-based school finance policy.</w:t>
      </w:r>
    </w:p>
    <w:p w14:paraId="2BFAF5B6" w14:textId="77777777" w:rsidR="0089474F" w:rsidRDefault="0089474F" w:rsidP="0089474F">
      <w:pPr>
        <w:rPr>
          <w:rFonts w:ascii="Noto Sans Kannada" w:eastAsia="Times New Roman" w:hAnsi="Noto Sans Kannada" w:cs="Noto Sans Kannada"/>
          <w:b/>
          <w:bCs/>
        </w:rPr>
      </w:pPr>
    </w:p>
    <w:p w14:paraId="2646974F" w14:textId="57FD6D65" w:rsidR="0089474F" w:rsidRDefault="0089474F" w:rsidP="0089474F">
      <w:pPr>
        <w:rPr>
          <w:rFonts w:ascii="Noto Sans Kannada" w:eastAsia="Times New Roman" w:hAnsi="Noto Sans Kannada" w:cs="Noto Sans Kannada"/>
          <w:b/>
          <w:bCs/>
        </w:rPr>
      </w:pPr>
      <w:r>
        <w:rPr>
          <w:rFonts w:ascii="Noto Serif" w:eastAsia="Times New Roman" w:hAnsi="Noto Serif" w:cs="Noto Serif"/>
          <w:noProof/>
          <w:sz w:val="18"/>
          <w:szCs w:val="18"/>
        </w:rPr>
        <mc:AlternateContent>
          <mc:Choice Requires="wps">
            <w:drawing>
              <wp:anchor distT="0" distB="0" distL="114300" distR="114300" simplePos="0" relativeHeight="251659264" behindDoc="0" locked="0" layoutInCell="1" allowOverlap="1" wp14:anchorId="305A983B" wp14:editId="4ED773F0">
                <wp:simplePos x="0" y="0"/>
                <wp:positionH relativeFrom="margin">
                  <wp:align>center</wp:align>
                </wp:positionH>
                <wp:positionV relativeFrom="paragraph">
                  <wp:posOffset>0</wp:posOffset>
                </wp:positionV>
                <wp:extent cx="5588000" cy="0"/>
                <wp:effectExtent l="0" t="0" r="12700" b="12700"/>
                <wp:wrapNone/>
                <wp:docPr id="793574762" name="Straight Connector 1"/>
                <wp:cNvGraphicFramePr/>
                <a:graphic xmlns:a="http://schemas.openxmlformats.org/drawingml/2006/main">
                  <a:graphicData uri="http://schemas.microsoft.com/office/word/2010/wordprocessingShape">
                    <wps:wsp>
                      <wps:cNvCnPr/>
                      <wps:spPr>
                        <a:xfrm>
                          <a:off x="0" y="0"/>
                          <a:ext cx="5588000" cy="0"/>
                        </a:xfrm>
                        <a:prstGeom prst="line">
                          <a:avLst/>
                        </a:prstGeom>
                        <a:ln>
                          <a:solidFill>
                            <a:srgbClr val="FFAE3F"/>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E77367F" id="Straight Connector 1" o:spid="_x0000_s1026" style="position:absolute;z-index:251659264;visibility:visible;mso-wrap-style:square;mso-wrap-distance-left:9pt;mso-wrap-distance-top:0;mso-wrap-distance-right:9pt;mso-wrap-distance-bottom:0;mso-position-horizontal:center;mso-position-horizontal-relative:margin;mso-position-vertical:absolute;mso-position-vertical-relative:text" from="0,0" to="440pt,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" strokecolor="#ffae3f" strokeweight=".5pt">
                <v:stroke joinstyle="miter"/>
                <w10:wrap anchorx="margin"/>
              </v:line>
            </w:pict>
          </mc:Fallback>
        </mc:AlternateContent>
      </w:r>
    </w:p>
    <w:p w14:paraId="4F282CBA" w14:textId="26EF91F2" w:rsidR="0089474F" w:rsidRPr="0089474F" w:rsidRDefault="009E6455" w:rsidP="0089474F">
      <w:pPr>
        <w:rPr>
          <w:rFonts w:ascii="Noto Sans" w:eastAsia="Times New Roman" w:hAnsi="Noto Sans" w:cs="Noto Sans"/>
          <w:b/>
          <w:bCs/>
          <w:color w:val="11698C"/>
          <w:sz w:val="32"/>
          <w:szCs w:val="32"/>
        </w:rPr>
      </w:pPr>
      <w:r>
        <w:rPr>
          <w:rFonts w:ascii="Noto Sans" w:eastAsia="Times New Roman" w:hAnsi="Noto Sans" w:cs="Noto Sans"/>
          <w:b/>
          <w:bCs/>
          <w:color w:val="11698C"/>
          <w:sz w:val="32"/>
          <w:szCs w:val="32"/>
        </w:rPr>
        <w:t>Rural Communities</w:t>
      </w:r>
    </w:p>
    <w:p w14:paraId="5348C704" w14:textId="77777777" w:rsidR="0089474F" w:rsidRDefault="0089474F" w:rsidP="0089474F">
      <w:pPr>
        <w:rPr>
          <w:rFonts w:ascii="Noto Sans" w:eastAsia="Times New Roman" w:hAnsi="Noto Sans" w:cs="Noto Sans"/>
        </w:rPr>
      </w:pPr>
    </w:p>
    <w:p w14:paraId="41EA4C7A" w14:textId="351533F1" w:rsidR="002E5F06" w:rsidRPr="0089474F" w:rsidRDefault="00F60FBA" w:rsidP="0089474F">
      <w:pPr>
        <w:rPr>
          <w:rFonts w:ascii="Noto Sans" w:eastAsia="Times New Roman" w:hAnsi="Noto Sans" w:cs="Noto Sans"/>
        </w:rPr>
      </w:pPr>
      <w:r w:rsidRPr="00F60FBA">
        <w:rPr>
          <w:rFonts w:ascii="Noto Sans" w:eastAsia="Times New Roman" w:hAnsi="Noto Sans" w:cs="Noto Sans"/>
        </w:rPr>
        <w:t xml:space="preserve">Rurality is generally identified using distance from other districts or urban areas, student density, and/or relative enrollment. </w:t>
      </w:r>
      <w:r w:rsidR="002E5F06" w:rsidRPr="002E5F06">
        <w:rPr>
          <w:rFonts w:ascii="Noto Sans" w:eastAsia="Times New Roman" w:hAnsi="Noto Sans" w:cs="Noto Sans"/>
        </w:rPr>
        <w:t xml:space="preserve">States typically address the unique fiscal challenges of rural and remote education by providing supplemental funding through state aid formulas. Approximately </w:t>
      </w:r>
      <w:r w:rsidR="00B84093">
        <w:rPr>
          <w:rFonts w:ascii="Noto Sans" w:eastAsia="Times New Roman" w:hAnsi="Noto Sans" w:cs="Noto Sans"/>
        </w:rPr>
        <w:t>thirty-three</w:t>
      </w:r>
      <w:r w:rsidR="002E5F06" w:rsidRPr="002E5F06">
        <w:rPr>
          <w:rFonts w:ascii="Noto Sans" w:eastAsia="Times New Roman" w:hAnsi="Noto Sans" w:cs="Noto Sans"/>
        </w:rPr>
        <w:t xml:space="preserve"> states have statutory adjustment policies for small size</w:t>
      </w:r>
      <w:r w:rsidR="00595201">
        <w:rPr>
          <w:rFonts w:ascii="Noto Sans" w:eastAsia="Times New Roman" w:hAnsi="Noto Sans" w:cs="Noto Sans"/>
        </w:rPr>
        <w:t>, sparsity,</w:t>
      </w:r>
      <w:r w:rsidR="002E5F06" w:rsidRPr="002E5F06">
        <w:rPr>
          <w:rFonts w:ascii="Noto Sans" w:eastAsia="Times New Roman" w:hAnsi="Noto Sans" w:cs="Noto Sans"/>
        </w:rPr>
        <w:t xml:space="preserve"> or</w:t>
      </w:r>
      <w:r w:rsidR="00783553">
        <w:rPr>
          <w:rFonts w:ascii="Noto Sans" w:eastAsia="Times New Roman" w:hAnsi="Noto Sans" w:cs="Noto Sans"/>
        </w:rPr>
        <w:t xml:space="preserve"> </w:t>
      </w:r>
      <w:r w:rsidR="002E5F06" w:rsidRPr="002E5F06">
        <w:rPr>
          <w:rFonts w:ascii="Noto Sans" w:eastAsia="Times New Roman" w:hAnsi="Noto Sans" w:cs="Noto Sans"/>
        </w:rPr>
        <w:t>isolation</w:t>
      </w:r>
      <w:r w:rsidR="002E5F06">
        <w:rPr>
          <w:rFonts w:ascii="Noto Sans" w:eastAsia="Times New Roman" w:hAnsi="Noto Sans" w:cs="Noto Sans"/>
        </w:rPr>
        <w:t xml:space="preserve"> (</w:t>
      </w:r>
      <w:r w:rsidR="002E5F06" w:rsidRPr="002E5F06">
        <w:rPr>
          <w:rFonts w:ascii="Noto Sans" w:eastAsia="Times New Roman" w:hAnsi="Noto Sans" w:cs="Noto Sans"/>
        </w:rPr>
        <w:t>Gutierrez &amp; Terrones</w:t>
      </w:r>
      <w:r w:rsidR="002E5F06">
        <w:rPr>
          <w:rFonts w:ascii="Noto Sans" w:eastAsia="Times New Roman" w:hAnsi="Noto Sans" w:cs="Noto Sans"/>
        </w:rPr>
        <w:t xml:space="preserve">, </w:t>
      </w:r>
      <w:r w:rsidR="002E5F06" w:rsidRPr="002E5F06">
        <w:rPr>
          <w:rFonts w:ascii="Noto Sans" w:eastAsia="Times New Roman" w:hAnsi="Noto Sans" w:cs="Noto Sans"/>
        </w:rPr>
        <w:t>2023</w:t>
      </w:r>
      <w:r w:rsidR="002E5F06">
        <w:rPr>
          <w:rFonts w:ascii="Noto Sans" w:eastAsia="Times New Roman" w:hAnsi="Noto Sans" w:cs="Noto Sans"/>
        </w:rPr>
        <w:t>)</w:t>
      </w:r>
      <w:r w:rsidR="002E5F06" w:rsidRPr="002E5F06">
        <w:rPr>
          <w:rFonts w:ascii="Noto Sans" w:eastAsia="Times New Roman" w:hAnsi="Noto Sans" w:cs="Noto Sans"/>
        </w:rPr>
        <w:t>. These funding mechanisms include weighted student counts, categorical grants for specific needs like transportation, and resource-based allocations that guarantee minimum staffing levels regardless of enrollment. Eligibility for this aid is generally determined by state-specific thresholds for enrollment size (small), student density per square mile (sparse), or geographic distance from other school districts (isolated). These adjustments are intended to offset higher per-pupil costs caused by a lack of economies of scale and the necessity of maintaining core services, such as a principal or building maintenance, for very few students.</w:t>
      </w:r>
    </w:p>
    <w:p w14:paraId="08D3B5A0" w14:textId="77777777" w:rsidR="0089474F" w:rsidRPr="0089474F" w:rsidRDefault="0089474F" w:rsidP="0089474F">
      <w:pPr>
        <w:rPr>
          <w:rFonts w:ascii="Noto Sans" w:eastAsia="Times New Roman" w:hAnsi="Noto Sans" w:cs="Noto Sans"/>
          <w:b/>
          <w:bCs/>
        </w:rPr>
      </w:pPr>
    </w:p>
    <w:p w14:paraId="3CEB6E4D" w14:textId="77777777" w:rsidR="0089474F" w:rsidRPr="0089474F" w:rsidRDefault="0089474F" w:rsidP="0089474F">
      <w:pPr>
        <w:rPr>
          <w:rFonts w:ascii="Noto Sans" w:eastAsia="Times New Roman" w:hAnsi="Noto Sans" w:cs="Noto Sans"/>
          <w:b/>
          <w:bCs/>
          <w:color w:val="11698C"/>
        </w:rPr>
      </w:pPr>
      <w:r w:rsidRPr="0089474F">
        <w:rPr>
          <w:rFonts w:ascii="Noto Sans" w:eastAsia="Times New Roman" w:hAnsi="Noto Sans" w:cs="Noto Sans"/>
          <w:b/>
          <w:bCs/>
          <w:color w:val="11698C"/>
        </w:rPr>
        <w:t>What the Research Says</w:t>
      </w:r>
    </w:p>
    <w:p w14:paraId="75BCD7DB" w14:textId="29D1DAD5" w:rsidR="005344F9" w:rsidRDefault="005344F9" w:rsidP="00736D59">
      <w:pPr>
        <w:rPr>
          <w:rFonts w:ascii="Noto Sans" w:eastAsia="Times New Roman" w:hAnsi="Noto Sans" w:cs="Noto Sans"/>
        </w:rPr>
      </w:pPr>
      <w:r>
        <w:rPr>
          <w:rFonts w:ascii="Noto Sans" w:eastAsia="Times New Roman" w:hAnsi="Noto Sans" w:cs="Noto Sans"/>
        </w:rPr>
        <w:t>Considering</w:t>
      </w:r>
      <w:r w:rsidR="009D2269">
        <w:rPr>
          <w:rFonts w:ascii="Noto Sans" w:eastAsia="Times New Roman" w:hAnsi="Noto Sans" w:cs="Noto Sans"/>
        </w:rPr>
        <w:t xml:space="preserve"> how size, sparsity, and isolation</w:t>
      </w:r>
      <w:r>
        <w:rPr>
          <w:rFonts w:ascii="Noto Sans" w:eastAsia="Times New Roman" w:hAnsi="Noto Sans" w:cs="Noto Sans"/>
        </w:rPr>
        <w:t xml:space="preserve"> can</w:t>
      </w:r>
      <w:r w:rsidR="009D2269">
        <w:rPr>
          <w:rFonts w:ascii="Noto Sans" w:eastAsia="Times New Roman" w:hAnsi="Noto Sans" w:cs="Noto Sans"/>
        </w:rPr>
        <w:t xml:space="preserve"> influence school costs</w:t>
      </w:r>
      <w:r w:rsidR="00F60FBA">
        <w:rPr>
          <w:rFonts w:ascii="Noto Sans" w:eastAsia="Times New Roman" w:hAnsi="Noto Sans" w:cs="Noto Sans"/>
        </w:rPr>
        <w:t xml:space="preserve"> and educational outcomes</w:t>
      </w:r>
      <w:r>
        <w:rPr>
          <w:rFonts w:ascii="Noto Sans" w:eastAsia="Times New Roman" w:hAnsi="Noto Sans" w:cs="Noto Sans"/>
        </w:rPr>
        <w:t>, r</w:t>
      </w:r>
      <w:r w:rsidRPr="005344F9">
        <w:rPr>
          <w:rFonts w:ascii="Noto Sans" w:eastAsia="Times New Roman" w:hAnsi="Noto Sans" w:cs="Noto Sans"/>
        </w:rPr>
        <w:t xml:space="preserve">esearch </w:t>
      </w:r>
      <w:r>
        <w:rPr>
          <w:rFonts w:ascii="Noto Sans" w:eastAsia="Times New Roman" w:hAnsi="Noto Sans" w:cs="Noto Sans"/>
        </w:rPr>
        <w:t>indicates</w:t>
      </w:r>
      <w:r w:rsidRPr="005344F9">
        <w:rPr>
          <w:rFonts w:ascii="Noto Sans" w:eastAsia="Times New Roman" w:hAnsi="Noto Sans" w:cs="Noto Sans"/>
        </w:rPr>
        <w:t xml:space="preserve"> that increase</w:t>
      </w:r>
      <w:r w:rsidR="00F60FBA">
        <w:rPr>
          <w:rFonts w:ascii="Noto Sans" w:eastAsia="Times New Roman" w:hAnsi="Noto Sans" w:cs="Noto Sans"/>
        </w:rPr>
        <w:t>s</w:t>
      </w:r>
      <w:r>
        <w:rPr>
          <w:rFonts w:ascii="Noto Sans" w:eastAsia="Times New Roman" w:hAnsi="Noto Sans" w:cs="Noto Sans"/>
        </w:rPr>
        <w:t xml:space="preserve"> in funding </w:t>
      </w:r>
      <w:r w:rsidRPr="005344F9">
        <w:rPr>
          <w:rFonts w:ascii="Noto Sans" w:eastAsia="Times New Roman" w:hAnsi="Noto Sans" w:cs="Noto Sans"/>
        </w:rPr>
        <w:t>can improve academic success, while reductions are associated with declines in achievement.</w:t>
      </w:r>
    </w:p>
    <w:p w14:paraId="49226E3A" w14:textId="77777777" w:rsidR="0089474F" w:rsidRPr="0089474F" w:rsidRDefault="0089474F" w:rsidP="0089474F">
      <w:pPr>
        <w:rPr>
          <w:rFonts w:ascii="Noto Sans" w:eastAsia="Times New Roman" w:hAnsi="Noto Sans" w:cs="Noto Sans"/>
        </w:rPr>
      </w:pPr>
    </w:p>
    <w:p w14:paraId="0EC987B4" w14:textId="216688E8" w:rsidR="001B34BA" w:rsidRPr="001B34BA" w:rsidRDefault="001B34BA" w:rsidP="001B34BA">
      <w:pPr>
        <w:pStyle w:val="ListParagraph"/>
        <w:numPr>
          <w:ilvl w:val="0"/>
          <w:numId w:val="4"/>
        </w:numPr>
        <w:rPr>
          <w:rFonts w:ascii="Noto Sans" w:eastAsia="Times New Roman" w:hAnsi="Noto Sans" w:cs="Noto Sans"/>
          <w:color w:val="000000" w:themeColor="text1"/>
        </w:rPr>
      </w:pPr>
      <w:r>
        <w:rPr>
          <w:rFonts w:ascii="Noto Sans" w:eastAsia="Times New Roman" w:hAnsi="Noto Sans" w:cs="Noto Sans"/>
          <w:b/>
          <w:bCs/>
          <w:color w:val="11698C"/>
        </w:rPr>
        <w:t>Small Size and Low Density Increase</w:t>
      </w:r>
      <w:r w:rsidR="009E23B1">
        <w:rPr>
          <w:rFonts w:ascii="Noto Sans" w:eastAsia="Times New Roman" w:hAnsi="Noto Sans" w:cs="Noto Sans"/>
          <w:b/>
          <w:bCs/>
          <w:color w:val="11698C"/>
        </w:rPr>
        <w:t>d</w:t>
      </w:r>
      <w:r>
        <w:rPr>
          <w:rFonts w:ascii="Noto Sans" w:eastAsia="Times New Roman" w:hAnsi="Noto Sans" w:cs="Noto Sans"/>
          <w:b/>
          <w:bCs/>
          <w:color w:val="11698C"/>
        </w:rPr>
        <w:t xml:space="preserve"> Educational Costs</w:t>
      </w:r>
      <w:r w:rsidR="0089474F" w:rsidRPr="001B34BA">
        <w:rPr>
          <w:rFonts w:ascii="Noto Sans" w:eastAsia="Times New Roman" w:hAnsi="Noto Sans" w:cs="Noto Sans"/>
          <w:b/>
          <w:bCs/>
          <w:color w:val="11698C"/>
        </w:rPr>
        <w:t>:</w:t>
      </w:r>
      <w:r w:rsidR="0089474F" w:rsidRPr="001B34BA">
        <w:rPr>
          <w:rFonts w:ascii="Noto Sans" w:eastAsia="Times New Roman" w:hAnsi="Noto Sans" w:cs="Noto Sans"/>
        </w:rPr>
        <w:t xml:space="preserve"> </w:t>
      </w:r>
      <w:r w:rsidRPr="001B34BA">
        <w:rPr>
          <w:rFonts w:ascii="Noto Sans" w:eastAsia="Times New Roman" w:hAnsi="Noto Sans" w:cs="Noto Sans"/>
          <w:color w:val="000000" w:themeColor="text1"/>
        </w:rPr>
        <w:t xml:space="preserve">Evidence from Vermont shows that school size and population density are distinct, independent drivers of rural education costs. </w:t>
      </w:r>
      <w:r w:rsidR="00ED197E">
        <w:rPr>
          <w:rFonts w:ascii="Noto Sans" w:eastAsia="Times New Roman" w:hAnsi="Noto Sans" w:cs="Noto Sans"/>
          <w:color w:val="000000" w:themeColor="text1"/>
        </w:rPr>
        <w:t>In this study, s</w:t>
      </w:r>
      <w:r w:rsidRPr="001B34BA">
        <w:rPr>
          <w:rFonts w:ascii="Noto Sans" w:eastAsia="Times New Roman" w:hAnsi="Noto Sans" w:cs="Noto Sans"/>
          <w:color w:val="000000" w:themeColor="text1"/>
        </w:rPr>
        <w:t>chools with fewer than 100 students require about $1,059 more per pupil than those with more than 250 students to achieve comparable outcomes. Additionally, schools in areas with fewer than 50 people per square mile must spend an additional $587 per pupil than those in more densely populated districts to reach similar achievement levels</w:t>
      </w:r>
      <w:r>
        <w:rPr>
          <w:rFonts w:ascii="Noto Sans" w:eastAsia="Times New Roman" w:hAnsi="Noto Sans" w:cs="Noto Sans"/>
          <w:color w:val="000000" w:themeColor="text1"/>
        </w:rPr>
        <w:t xml:space="preserve"> (Kolbe et al., 2021)</w:t>
      </w:r>
      <w:r w:rsidR="007860F3">
        <w:rPr>
          <w:rFonts w:ascii="Noto Sans" w:eastAsia="Times New Roman" w:hAnsi="Noto Sans" w:cs="Noto Sans"/>
          <w:color w:val="000000" w:themeColor="text1"/>
        </w:rPr>
        <w:t>.</w:t>
      </w:r>
    </w:p>
    <w:p w14:paraId="0CB59CFC" w14:textId="1C06EF9F" w:rsidR="00736D59" w:rsidRPr="000C4A2E" w:rsidRDefault="009E23B1" w:rsidP="000C4A2E">
      <w:pPr>
        <w:pStyle w:val="ListParagraph"/>
        <w:numPr>
          <w:ilvl w:val="0"/>
          <w:numId w:val="4"/>
        </w:numPr>
        <w:jc w:val="both"/>
        <w:rPr>
          <w:rFonts w:ascii="Noto Sans" w:eastAsia="Times New Roman" w:hAnsi="Noto Sans" w:cs="Noto Sans"/>
        </w:rPr>
      </w:pPr>
      <w:r w:rsidRPr="000C4A2E">
        <w:rPr>
          <w:rFonts w:ascii="Noto Sans" w:eastAsia="Times New Roman" w:hAnsi="Noto Sans" w:cs="Noto Sans"/>
          <w:b/>
          <w:bCs/>
          <w:color w:val="11698C"/>
        </w:rPr>
        <w:t xml:space="preserve">Remote Rural </w:t>
      </w:r>
      <w:r w:rsidR="000C4A2E" w:rsidRPr="000C4A2E">
        <w:rPr>
          <w:rFonts w:ascii="Noto Sans" w:eastAsia="Times New Roman" w:hAnsi="Noto Sans" w:cs="Noto Sans"/>
          <w:b/>
          <w:bCs/>
          <w:color w:val="11698C"/>
        </w:rPr>
        <w:t>Cost Pressures</w:t>
      </w:r>
      <w:r w:rsidR="00736D59" w:rsidRPr="000C4A2E">
        <w:rPr>
          <w:rFonts w:ascii="Noto Sans" w:eastAsia="Times New Roman" w:hAnsi="Noto Sans" w:cs="Noto Sans"/>
          <w:b/>
          <w:bCs/>
          <w:color w:val="11698C"/>
        </w:rPr>
        <w:t>:</w:t>
      </w:r>
      <w:r w:rsidR="00736D59" w:rsidRPr="000C4A2E">
        <w:rPr>
          <w:rFonts w:ascii="Noto Sans" w:eastAsia="Times New Roman" w:hAnsi="Noto Sans" w:cs="Noto Sans"/>
        </w:rPr>
        <w:t xml:space="preserve"> </w:t>
      </w:r>
      <w:r w:rsidR="000C4A2E" w:rsidRPr="000C4A2E">
        <w:rPr>
          <w:rFonts w:ascii="Noto Sans" w:eastAsia="Times New Roman" w:hAnsi="Noto Sans" w:cs="Noto Sans"/>
        </w:rPr>
        <w:t xml:space="preserve">Drawing on </w:t>
      </w:r>
      <w:r w:rsidR="00B84093">
        <w:rPr>
          <w:rFonts w:ascii="Noto Sans" w:eastAsia="Times New Roman" w:hAnsi="Noto Sans" w:cs="Noto Sans"/>
        </w:rPr>
        <w:t>fifteen</w:t>
      </w:r>
      <w:r w:rsidR="000C4A2E" w:rsidRPr="000C4A2E">
        <w:rPr>
          <w:rFonts w:ascii="Noto Sans" w:eastAsia="Times New Roman" w:hAnsi="Noto Sans" w:cs="Noto Sans"/>
        </w:rPr>
        <w:t xml:space="preserve"> years of financial data, a study of California’s implementation of the Local Control Funding Formula </w:t>
      </w:r>
      <w:r w:rsidR="000C4A2E" w:rsidRPr="000C4A2E">
        <w:rPr>
          <w:rFonts w:ascii="Noto Sans" w:eastAsia="Times New Roman" w:hAnsi="Noto Sans" w:cs="Noto Sans"/>
        </w:rPr>
        <w:lastRenderedPageBreak/>
        <w:t>found that while rural and nonrural districts generally allocated their funds similarly, remote rural districts emerged as distinct outliers, spending significantly more overall. Contrary to expectations of increased instructional spending, these remote rural districts dedicated substantially more resources to capital, facilities, transportation, and debt service</w:t>
      </w:r>
      <w:r w:rsidR="00782F55">
        <w:rPr>
          <w:rFonts w:ascii="Noto Sans" w:eastAsia="Times New Roman" w:hAnsi="Noto Sans" w:cs="Noto Sans"/>
        </w:rPr>
        <w:t xml:space="preserve"> </w:t>
      </w:r>
      <w:r w:rsidR="002C03A7">
        <w:rPr>
          <w:rFonts w:ascii="Noto Sans" w:eastAsia="Times New Roman" w:hAnsi="Noto Sans" w:cs="Noto Sans"/>
        </w:rPr>
        <w:t>(</w:t>
      </w:r>
      <w:r w:rsidR="000C4A2E" w:rsidRPr="000C4A2E">
        <w:rPr>
          <w:rFonts w:ascii="Noto Sans" w:eastAsia="Times New Roman" w:hAnsi="Noto Sans" w:cs="Noto Sans"/>
        </w:rPr>
        <w:t>Dhaliwal &amp; Bruno, 2021)</w:t>
      </w:r>
      <w:r w:rsidR="007860F3">
        <w:rPr>
          <w:rFonts w:ascii="Noto Sans" w:eastAsia="Times New Roman" w:hAnsi="Noto Sans" w:cs="Noto Sans"/>
        </w:rPr>
        <w:t>.</w:t>
      </w:r>
    </w:p>
    <w:p w14:paraId="718C400D" w14:textId="13853A14" w:rsidR="000C4A2E" w:rsidRPr="004108AE" w:rsidRDefault="004108AE" w:rsidP="0089474F">
      <w:pPr>
        <w:pStyle w:val="ListParagraph"/>
        <w:numPr>
          <w:ilvl w:val="0"/>
          <w:numId w:val="4"/>
        </w:numPr>
        <w:jc w:val="both"/>
        <w:rPr>
          <w:rFonts w:ascii="Noto Sans" w:eastAsia="Times New Roman" w:hAnsi="Noto Sans" w:cs="Noto Sans"/>
        </w:rPr>
      </w:pPr>
      <w:r>
        <w:rPr>
          <w:rFonts w:ascii="Noto Sans" w:eastAsia="Times New Roman" w:hAnsi="Noto Sans" w:cs="Noto Sans"/>
          <w:b/>
          <w:bCs/>
          <w:color w:val="11698C"/>
        </w:rPr>
        <w:t>Achievement Loss from Funding Cuts</w:t>
      </w:r>
      <w:r w:rsidR="00736D59" w:rsidRPr="0089474F">
        <w:rPr>
          <w:rFonts w:ascii="Noto Sans" w:eastAsia="Times New Roman" w:hAnsi="Noto Sans" w:cs="Noto Sans"/>
          <w:b/>
          <w:bCs/>
          <w:color w:val="11698C"/>
        </w:rPr>
        <w:t>:</w:t>
      </w:r>
      <w:r w:rsidR="00736D59" w:rsidRPr="0089474F">
        <w:rPr>
          <w:rFonts w:ascii="Noto Sans" w:eastAsia="Times New Roman" w:hAnsi="Noto Sans" w:cs="Noto Sans"/>
        </w:rPr>
        <w:t xml:space="preserve"> </w:t>
      </w:r>
      <w:r w:rsidRPr="004108AE">
        <w:rPr>
          <w:rFonts w:ascii="Noto Sans" w:eastAsia="Times New Roman" w:hAnsi="Noto Sans" w:cs="Noto Sans"/>
        </w:rPr>
        <w:t>In a study of Kansas's transition to a block grant funding formula, research found that declines in spending represented a fraction of the total budget that was more than four times greater in rural districts than in nonrural ones. The study found that these disproportionate funding constraints were directly linked to significant achievement declines in rural settings. These findings suggest that because rural districts often have lower cash reserves and less access to outside services, they are less able to absorb short-term funding cuts without academic performance loss (Rauscher, 2020)</w:t>
      </w:r>
      <w:r w:rsidR="007860F3">
        <w:rPr>
          <w:rFonts w:ascii="Noto Sans" w:eastAsia="Times New Roman" w:hAnsi="Noto Sans" w:cs="Noto Sans"/>
        </w:rPr>
        <w:t>.</w:t>
      </w:r>
    </w:p>
    <w:p w14:paraId="18A5CDEF" w14:textId="77777777" w:rsidR="004108AE" w:rsidRPr="0089474F" w:rsidRDefault="004108AE" w:rsidP="0089474F">
      <w:pPr>
        <w:rPr>
          <w:rFonts w:ascii="Noto Sans" w:eastAsia="Times New Roman" w:hAnsi="Noto Sans" w:cs="Noto Sans"/>
        </w:rPr>
      </w:pPr>
    </w:p>
    <w:p w14:paraId="4B231259" w14:textId="26766001" w:rsidR="0089474F" w:rsidRPr="0089474F" w:rsidRDefault="0089474F" w:rsidP="0089474F">
      <w:pPr>
        <w:rPr>
          <w:rFonts w:ascii="Noto Sans" w:eastAsia="Times New Roman" w:hAnsi="Noto Sans" w:cs="Noto Sans"/>
          <w:b/>
          <w:bCs/>
          <w:color w:val="11698C"/>
        </w:rPr>
      </w:pPr>
      <w:r w:rsidRPr="0089474F">
        <w:rPr>
          <w:rFonts w:ascii="Noto Sans" w:eastAsia="Times New Roman" w:hAnsi="Noto Sans" w:cs="Noto Sans"/>
          <w:b/>
          <w:bCs/>
          <w:color w:val="11698C"/>
        </w:rPr>
        <w:t xml:space="preserve">Recommendations for How to Fund </w:t>
      </w:r>
      <w:r w:rsidR="009E6455">
        <w:rPr>
          <w:rFonts w:ascii="Noto Sans" w:eastAsia="Times New Roman" w:hAnsi="Noto Sans" w:cs="Noto Sans"/>
          <w:b/>
          <w:bCs/>
          <w:color w:val="11698C"/>
        </w:rPr>
        <w:t>Rural Communities</w:t>
      </w:r>
    </w:p>
    <w:p w14:paraId="370DC065" w14:textId="2BDD359E" w:rsidR="00B37489" w:rsidRPr="0089474F" w:rsidRDefault="00B37489" w:rsidP="00B37489">
      <w:pPr>
        <w:jc w:val="both"/>
        <w:rPr>
          <w:rFonts w:ascii="Noto Sans" w:eastAsia="Times New Roman" w:hAnsi="Noto Sans" w:cs="Noto Sans"/>
          <w:color w:val="000000" w:themeColor="text1"/>
        </w:rPr>
      </w:pPr>
      <w:r w:rsidRPr="0089474F">
        <w:rPr>
          <w:rFonts w:ascii="Noto Sans" w:eastAsia="Times New Roman" w:hAnsi="Noto Sans" w:cs="Noto Sans"/>
          <w:color w:val="000000" w:themeColor="text1"/>
        </w:rPr>
        <w:t xml:space="preserve">States should adopt funding policies that direct funds to </w:t>
      </w:r>
      <w:r>
        <w:rPr>
          <w:rFonts w:ascii="Noto Sans" w:eastAsia="Times New Roman" w:hAnsi="Noto Sans" w:cs="Noto Sans"/>
          <w:color w:val="000000" w:themeColor="text1"/>
        </w:rPr>
        <w:t>small, sparse</w:t>
      </w:r>
      <w:r w:rsidR="0001337E">
        <w:rPr>
          <w:rFonts w:ascii="Noto Sans" w:eastAsia="Times New Roman" w:hAnsi="Noto Sans" w:cs="Noto Sans"/>
          <w:color w:val="000000" w:themeColor="text1"/>
        </w:rPr>
        <w:t>,</w:t>
      </w:r>
      <w:r>
        <w:rPr>
          <w:rFonts w:ascii="Noto Sans" w:eastAsia="Times New Roman" w:hAnsi="Noto Sans" w:cs="Noto Sans"/>
          <w:color w:val="000000" w:themeColor="text1"/>
        </w:rPr>
        <w:t xml:space="preserve"> and isolated schools. </w:t>
      </w:r>
    </w:p>
    <w:p w14:paraId="256D93F9" w14:textId="77777777" w:rsidR="0089474F" w:rsidRPr="0089474F" w:rsidRDefault="0089474F" w:rsidP="0089474F">
      <w:pPr>
        <w:rPr>
          <w:rFonts w:ascii="Noto Sans" w:eastAsia="Times New Roman" w:hAnsi="Noto Sans" w:cs="Noto Sans"/>
          <w:color w:val="000000" w:themeColor="text1"/>
        </w:rPr>
      </w:pPr>
    </w:p>
    <w:p w14:paraId="506F146C" w14:textId="39AE0F18" w:rsidR="00E07F84" w:rsidRDefault="00112CD9" w:rsidP="00E07F84">
      <w:pPr>
        <w:pStyle w:val="ListParagraph"/>
        <w:numPr>
          <w:ilvl w:val="0"/>
          <w:numId w:val="3"/>
        </w:numPr>
        <w:jc w:val="both"/>
        <w:rPr>
          <w:rFonts w:ascii="Noto Sans" w:eastAsia="Times New Roman" w:hAnsi="Noto Sans" w:cs="Noto Sans"/>
        </w:rPr>
      </w:pPr>
      <w:r>
        <w:rPr>
          <w:rFonts w:ascii="Noto Sans" w:eastAsia="Times New Roman" w:hAnsi="Noto Sans" w:cs="Noto Sans"/>
          <w:b/>
          <w:bCs/>
          <w:color w:val="11698C"/>
        </w:rPr>
        <w:t xml:space="preserve">Adopt a </w:t>
      </w:r>
      <w:r w:rsidR="00442036">
        <w:rPr>
          <w:rFonts w:ascii="Noto Sans" w:eastAsia="Times New Roman" w:hAnsi="Noto Sans" w:cs="Noto Sans"/>
          <w:b/>
          <w:bCs/>
          <w:color w:val="11698C"/>
        </w:rPr>
        <w:t>Small Size or Isolated Funding Weight</w:t>
      </w:r>
      <w:r w:rsidR="00736D59" w:rsidRPr="0089474F">
        <w:rPr>
          <w:rFonts w:ascii="Noto Sans" w:eastAsia="Times New Roman" w:hAnsi="Noto Sans" w:cs="Noto Sans"/>
          <w:b/>
          <w:bCs/>
          <w:color w:val="11698C"/>
        </w:rPr>
        <w:t>:</w:t>
      </w:r>
      <w:r w:rsidR="006B3D4A">
        <w:rPr>
          <w:rFonts w:ascii="Noto Sans" w:eastAsia="Times New Roman" w:hAnsi="Noto Sans" w:cs="Noto Sans"/>
          <w:b/>
          <w:bCs/>
          <w:color w:val="11698C"/>
        </w:rPr>
        <w:t xml:space="preserve"> </w:t>
      </w:r>
      <w:r w:rsidRPr="0089474F">
        <w:rPr>
          <w:rFonts w:ascii="Noto Sans" w:eastAsia="Times New Roman" w:hAnsi="Noto Sans" w:cs="Noto Sans"/>
        </w:rPr>
        <w:t xml:space="preserve">States should utilize weighted funding formulas that proportionately allocate resources to schools </w:t>
      </w:r>
      <w:r>
        <w:rPr>
          <w:rFonts w:ascii="Noto Sans" w:eastAsia="Times New Roman" w:hAnsi="Noto Sans" w:cs="Noto Sans"/>
        </w:rPr>
        <w:t>based on their size, isolation, and density ratios (Kolbe et al., 2021)</w:t>
      </w:r>
      <w:r w:rsidR="008F70CC">
        <w:rPr>
          <w:rFonts w:ascii="Noto Sans" w:eastAsia="Times New Roman" w:hAnsi="Noto Sans" w:cs="Noto Sans"/>
        </w:rPr>
        <w:t>.</w:t>
      </w:r>
    </w:p>
    <w:p w14:paraId="6352AFCB" w14:textId="4CF54162" w:rsidR="00E07F84" w:rsidRPr="009462AB" w:rsidRDefault="00DB3981" w:rsidP="0089474F">
      <w:pPr>
        <w:pStyle w:val="ListParagraph"/>
        <w:numPr>
          <w:ilvl w:val="0"/>
          <w:numId w:val="3"/>
        </w:numPr>
        <w:jc w:val="both"/>
        <w:rPr>
          <w:rFonts w:ascii="Noto Sans" w:eastAsia="Times New Roman" w:hAnsi="Noto Sans" w:cs="Noto Sans"/>
        </w:rPr>
      </w:pPr>
      <w:r>
        <w:rPr>
          <w:rFonts w:ascii="Noto Sans" w:eastAsia="Times New Roman" w:hAnsi="Noto Sans" w:cs="Noto Sans"/>
          <w:b/>
          <w:bCs/>
          <w:color w:val="11698C"/>
        </w:rPr>
        <w:t>Incorporate Both Enrollment and Density</w:t>
      </w:r>
      <w:r w:rsidR="00736D59" w:rsidRPr="0089474F">
        <w:rPr>
          <w:rFonts w:ascii="Noto Sans" w:eastAsia="Times New Roman" w:hAnsi="Noto Sans" w:cs="Noto Sans"/>
          <w:b/>
          <w:bCs/>
          <w:color w:val="11698C"/>
        </w:rPr>
        <w:t>:</w:t>
      </w:r>
      <w:r w:rsidR="00736D59" w:rsidRPr="0089474F">
        <w:rPr>
          <w:rFonts w:ascii="Noto Sans" w:eastAsia="Times New Roman" w:hAnsi="Noto Sans" w:cs="Noto Sans"/>
        </w:rPr>
        <w:t xml:space="preserve"> </w:t>
      </w:r>
      <w:r w:rsidR="004267B9" w:rsidRPr="004267B9">
        <w:rPr>
          <w:rFonts w:ascii="Noto Sans" w:eastAsia="Times New Roman" w:hAnsi="Noto Sans" w:cs="Noto Sans"/>
          <w:color w:val="000000" w:themeColor="text1"/>
        </w:rPr>
        <w:t>State funding formulas should incorporate separate factors for district size and sparsity rather than treating them as interchangeable. Reliance on a single measure may fail to target aid effectively, as many small districts are not sparse, and some sparse districts have relatively high enrollments</w:t>
      </w:r>
      <w:r w:rsidR="004267B9">
        <w:rPr>
          <w:rFonts w:ascii="Noto Sans" w:eastAsia="Times New Roman" w:hAnsi="Noto Sans" w:cs="Noto Sans"/>
          <w:color w:val="000000" w:themeColor="text1"/>
        </w:rPr>
        <w:t xml:space="preserve"> (</w:t>
      </w:r>
      <w:r w:rsidR="004267B9" w:rsidRPr="002E5F06">
        <w:rPr>
          <w:rFonts w:ascii="Noto Sans" w:eastAsia="Times New Roman" w:hAnsi="Noto Sans" w:cs="Noto Sans"/>
          <w:color w:val="000000" w:themeColor="text1"/>
        </w:rPr>
        <w:t>Gutierrez &amp; Terrones, 2023</w:t>
      </w:r>
      <w:r w:rsidR="004267B9">
        <w:rPr>
          <w:rFonts w:ascii="Noto Sans" w:eastAsia="Times New Roman" w:hAnsi="Noto Sans" w:cs="Noto Sans"/>
          <w:color w:val="000000" w:themeColor="text1"/>
        </w:rPr>
        <w:t>)</w:t>
      </w:r>
      <w:r w:rsidR="008F70CC">
        <w:rPr>
          <w:rFonts w:ascii="Noto Sans" w:eastAsia="Times New Roman" w:hAnsi="Noto Sans" w:cs="Noto Sans"/>
          <w:color w:val="000000" w:themeColor="text1"/>
        </w:rPr>
        <w:t>.</w:t>
      </w:r>
    </w:p>
    <w:p w14:paraId="3D990F26" w14:textId="69CB373E" w:rsidR="009462AB" w:rsidRPr="00E07F84" w:rsidRDefault="009462AB" w:rsidP="009462AB">
      <w:pPr>
        <w:pStyle w:val="ListParagraph"/>
        <w:numPr>
          <w:ilvl w:val="0"/>
          <w:numId w:val="3"/>
        </w:numPr>
        <w:jc w:val="both"/>
        <w:rPr>
          <w:rFonts w:ascii="Noto Sans" w:eastAsia="Times New Roman" w:hAnsi="Noto Sans" w:cs="Noto Sans"/>
        </w:rPr>
      </w:pPr>
      <w:r w:rsidRPr="00E07F84">
        <w:rPr>
          <w:rFonts w:ascii="Noto Sans" w:eastAsia="Times New Roman" w:hAnsi="Noto Sans" w:cs="Noto Sans"/>
          <w:b/>
          <w:bCs/>
          <w:color w:val="11698C"/>
        </w:rPr>
        <w:t>Provide Supplemental Aid as Unrestricted Revenue:</w:t>
      </w:r>
      <w:r w:rsidRPr="00E07F84">
        <w:rPr>
          <w:rFonts w:ascii="Noto Sans" w:eastAsia="Times New Roman" w:hAnsi="Noto Sans" w:cs="Noto Sans"/>
        </w:rPr>
        <w:t xml:space="preserve"> </w:t>
      </w:r>
      <w:r w:rsidRPr="00E07F84">
        <w:rPr>
          <w:rFonts w:ascii="Noto Sans" w:eastAsia="Times New Roman" w:hAnsi="Noto Sans" w:cs="Noto Sans"/>
          <w:color w:val="000000" w:themeColor="text1"/>
        </w:rPr>
        <w:t>When states provide</w:t>
      </w:r>
      <w:r w:rsidR="00AC4021">
        <w:rPr>
          <w:rFonts w:ascii="Noto Sans" w:eastAsia="Times New Roman" w:hAnsi="Noto Sans" w:cs="Noto Sans"/>
          <w:color w:val="000000" w:themeColor="text1"/>
        </w:rPr>
        <w:t xml:space="preserve"> rurality </w:t>
      </w:r>
      <w:r w:rsidRPr="00E07F84">
        <w:rPr>
          <w:rFonts w:ascii="Noto Sans" w:eastAsia="Times New Roman" w:hAnsi="Noto Sans" w:cs="Noto Sans"/>
          <w:color w:val="000000" w:themeColor="text1"/>
        </w:rPr>
        <w:t>aid, they should prioritize unrestricted funds that grant local administrators the flexibility to address their unique cost structures. This is more effective than rigid categorical grants, as it allows districts to allocate resources toward their highest local needs, such as competitive teacher salaries or addressing geographic isolation</w:t>
      </w:r>
      <w:r>
        <w:rPr>
          <w:rFonts w:ascii="Noto Sans" w:eastAsia="Times New Roman" w:hAnsi="Noto Sans" w:cs="Noto Sans"/>
          <w:color w:val="000000" w:themeColor="text1"/>
        </w:rPr>
        <w:t xml:space="preserve"> </w:t>
      </w:r>
      <w:r w:rsidRPr="000C4A2E">
        <w:rPr>
          <w:rFonts w:ascii="Noto Sans" w:eastAsia="Times New Roman" w:hAnsi="Noto Sans" w:cs="Noto Sans"/>
        </w:rPr>
        <w:t>(Dhaliwal &amp; Bruno, 2021)</w:t>
      </w:r>
      <w:r w:rsidR="008F70CC">
        <w:rPr>
          <w:rFonts w:ascii="Noto Sans" w:eastAsia="Times New Roman" w:hAnsi="Noto Sans" w:cs="Noto Sans"/>
        </w:rPr>
        <w:t>.</w:t>
      </w:r>
    </w:p>
    <w:p w14:paraId="3426543C" w14:textId="77777777" w:rsidR="004267B9" w:rsidRPr="00E07F84" w:rsidRDefault="004267B9" w:rsidP="0089474F">
      <w:pPr>
        <w:rPr>
          <w:rFonts w:ascii="Noto Sans" w:eastAsia="Times New Roman" w:hAnsi="Noto Sans" w:cs="Noto Sans"/>
          <w:color w:val="000000" w:themeColor="text1"/>
        </w:rPr>
      </w:pPr>
    </w:p>
    <w:p w14:paraId="4892D981" w14:textId="77777777" w:rsidR="0089474F" w:rsidRPr="0089474F" w:rsidRDefault="0089474F" w:rsidP="0089474F">
      <w:pPr>
        <w:rPr>
          <w:rFonts w:ascii="Noto Sans" w:eastAsia="Times New Roman" w:hAnsi="Noto Sans" w:cs="Noto Sans"/>
          <w:b/>
          <w:bCs/>
          <w:color w:val="000000" w:themeColor="text1"/>
        </w:rPr>
      </w:pPr>
      <w:r w:rsidRPr="0089474F">
        <w:rPr>
          <w:rFonts w:ascii="Noto Sans" w:eastAsia="Times New Roman" w:hAnsi="Noto Sans" w:cs="Noto Sans"/>
          <w:b/>
          <w:bCs/>
          <w:color w:val="11698C"/>
        </w:rPr>
        <w:t>Conclusion</w:t>
      </w:r>
    </w:p>
    <w:p w14:paraId="79B6D78E" w14:textId="219D411E" w:rsidR="0089474F" w:rsidRPr="00D743D0" w:rsidRDefault="00D743D0" w:rsidP="00D743D0">
      <w:pPr>
        <w:jc w:val="both"/>
        <w:rPr>
          <w:rFonts w:ascii="Noto Sans" w:eastAsia="Times New Roman" w:hAnsi="Noto Sans" w:cs="Noto Sans"/>
          <w:color w:val="000000" w:themeColor="text1"/>
        </w:rPr>
      </w:pPr>
      <w:r w:rsidRPr="00D743D0">
        <w:rPr>
          <w:rFonts w:ascii="Noto Sans" w:eastAsia="Times New Roman" w:hAnsi="Noto Sans" w:cs="Noto Sans"/>
          <w:color w:val="000000" w:themeColor="text1"/>
        </w:rPr>
        <w:t xml:space="preserve">Effective rural school finance requires states to transition to weighted student funding formulas that treat school size and population density as separate cost drivers. By providing flexible, unrestricted revenue and targeted human capital </w:t>
      </w:r>
      <w:r w:rsidRPr="00D743D0">
        <w:rPr>
          <w:rFonts w:ascii="Noto Sans" w:eastAsia="Times New Roman" w:hAnsi="Noto Sans" w:cs="Noto Sans"/>
          <w:color w:val="000000" w:themeColor="text1"/>
        </w:rPr>
        <w:lastRenderedPageBreak/>
        <w:t>supports, states can better ensure that rural students have equitable access to an adequate education regardless of their geography.</w:t>
      </w:r>
    </w:p>
    <w:p w14:paraId="3F68D0B5" w14:textId="77777777" w:rsidR="0089474F" w:rsidRDefault="0089474F" w:rsidP="0089474F">
      <w:pPr>
        <w:rPr>
          <w:rFonts w:ascii="Noto Sans" w:eastAsia="Times New Roman" w:hAnsi="Noto Sans" w:cs="Noto Sans"/>
          <w:b/>
          <w:bCs/>
          <w:color w:val="000000" w:themeColor="text1"/>
        </w:rPr>
      </w:pPr>
    </w:p>
    <w:p w14:paraId="404068F7" w14:textId="77777777" w:rsidR="004B0EAB" w:rsidRDefault="004B0EAB" w:rsidP="0089474F">
      <w:pPr>
        <w:rPr>
          <w:rFonts w:ascii="Noto Sans" w:eastAsia="Times New Roman" w:hAnsi="Noto Sans" w:cs="Noto Sans"/>
          <w:b/>
          <w:bCs/>
          <w:color w:val="11698C"/>
        </w:rPr>
      </w:pPr>
    </w:p>
    <w:p w14:paraId="4C948823" w14:textId="17EED3CF" w:rsidR="0089474F" w:rsidRPr="0089474F" w:rsidRDefault="0089474F" w:rsidP="0089474F">
      <w:pPr>
        <w:rPr>
          <w:rFonts w:ascii="Noto Sans" w:eastAsia="Times New Roman" w:hAnsi="Noto Sans" w:cs="Noto Sans"/>
          <w:b/>
          <w:bCs/>
          <w:color w:val="11698C"/>
        </w:rPr>
      </w:pPr>
      <w:r w:rsidRPr="0089474F">
        <w:rPr>
          <w:rFonts w:ascii="Noto Sans" w:eastAsia="Times New Roman" w:hAnsi="Noto Sans" w:cs="Noto Sans"/>
          <w:b/>
          <w:bCs/>
          <w:color w:val="11698C"/>
        </w:rPr>
        <w:t>References</w:t>
      </w:r>
    </w:p>
    <w:p w14:paraId="0AFDF477" w14:textId="77777777" w:rsidR="00D7327F" w:rsidRDefault="00D7327F" w:rsidP="00D7327F">
      <w:pPr>
        <w:tabs>
          <w:tab w:val="left" w:pos="1036"/>
        </w:tabs>
        <w:rPr>
          <w:rFonts w:ascii="Noto Sans" w:hAnsi="Noto Sans" w:cs="Noto Sans"/>
        </w:rPr>
      </w:pPr>
      <w:r w:rsidRPr="00D7327F">
        <w:rPr>
          <w:rFonts w:ascii="Noto Sans" w:hAnsi="Noto Sans" w:cs="Noto Sans"/>
        </w:rPr>
        <w:t>Dhaliwal, T. K., &amp; Bruno, P. (2021). The rural/nonrural divide? K–12 district spending</w:t>
      </w:r>
    </w:p>
    <w:p w14:paraId="66C7ACBC" w14:textId="5E537EA7" w:rsidR="00D7327F" w:rsidRDefault="007860F3" w:rsidP="00D7327F">
      <w:pPr>
        <w:tabs>
          <w:tab w:val="left" w:pos="1036"/>
        </w:tabs>
        <w:rPr>
          <w:rFonts w:ascii="Noto Sans" w:hAnsi="Noto Sans" w:cs="Noto Sans"/>
        </w:rPr>
      </w:pPr>
      <w:r>
        <w:rPr>
          <w:rFonts w:ascii="Noto Sans" w:hAnsi="Noto Sans" w:cs="Noto Sans"/>
        </w:rPr>
        <w:tab/>
      </w:r>
      <w:r w:rsidR="00D7327F" w:rsidRPr="00D7327F">
        <w:rPr>
          <w:rFonts w:ascii="Noto Sans" w:hAnsi="Noto Sans" w:cs="Noto Sans"/>
        </w:rPr>
        <w:t xml:space="preserve">and implications of equity-based school funding. </w:t>
      </w:r>
      <w:r w:rsidR="00D7327F" w:rsidRPr="00D7327F">
        <w:rPr>
          <w:rFonts w:ascii="Noto Sans" w:hAnsi="Noto Sans" w:cs="Noto Sans"/>
          <w:i/>
          <w:iCs/>
        </w:rPr>
        <w:t>AERA Open, 7</w:t>
      </w:r>
      <w:r w:rsidR="00D7327F" w:rsidRPr="00D7327F">
        <w:rPr>
          <w:rFonts w:ascii="Noto Sans" w:hAnsi="Noto Sans" w:cs="Noto Sans"/>
        </w:rPr>
        <w:t>(1), 1–21.</w:t>
      </w:r>
    </w:p>
    <w:p w14:paraId="66333603" w14:textId="530546CF" w:rsidR="00D7327F" w:rsidRPr="00D7327F" w:rsidRDefault="00D7327F" w:rsidP="00D7327F">
      <w:pPr>
        <w:tabs>
          <w:tab w:val="left" w:pos="1036"/>
        </w:tabs>
        <w:rPr>
          <w:rFonts w:ascii="Noto Sans" w:eastAsia="Aptos" w:hAnsi="Noto Sans" w:cs="Noto Sans"/>
        </w:rPr>
      </w:pPr>
      <w:r>
        <w:rPr>
          <w:rFonts w:ascii="Noto Sans" w:hAnsi="Noto Sans" w:cs="Noto Sans"/>
        </w:rPr>
        <w:tab/>
      </w:r>
      <w:hyperlink r:id="rId7" w:history="1">
        <w:r w:rsidRPr="00D125BC">
          <w:rPr>
            <w:rStyle w:val="Hyperlink"/>
            <w:rFonts w:ascii="Noto Sans" w:hAnsi="Noto Sans" w:cs="Noto Sans"/>
          </w:rPr>
          <w:t>https://doi.org/10.1177/2332858420982549</w:t>
        </w:r>
      </w:hyperlink>
    </w:p>
    <w:p w14:paraId="1A82DB27" w14:textId="6D0EA740" w:rsidR="004108AE" w:rsidRDefault="002E5F06" w:rsidP="00381FC7">
      <w:pPr>
        <w:rPr>
          <w:rFonts w:ascii="Noto Sans" w:eastAsia="Times New Roman" w:hAnsi="Noto Sans" w:cs="Noto Sans"/>
          <w:color w:val="000000" w:themeColor="text1"/>
        </w:rPr>
      </w:pPr>
      <w:r w:rsidRPr="002E5F06">
        <w:rPr>
          <w:rFonts w:ascii="Noto Sans" w:eastAsia="Times New Roman" w:hAnsi="Noto Sans" w:cs="Noto Sans"/>
          <w:color w:val="000000" w:themeColor="text1"/>
        </w:rPr>
        <w:t>Gutierrez, E., &amp; Terrones, F. (2023). Small and sparse: Defining rural school districts</w:t>
      </w:r>
    </w:p>
    <w:p w14:paraId="3B25EE60" w14:textId="7CF00B33" w:rsidR="002E5F06" w:rsidRPr="002C4253" w:rsidRDefault="002E5F06" w:rsidP="004108AE">
      <w:pPr>
        <w:ind w:left="720"/>
        <w:rPr>
          <w:rFonts w:ascii="Noto Sans" w:eastAsia="Times New Roman" w:hAnsi="Noto Sans" w:cs="Noto Sans"/>
          <w:color w:val="000000" w:themeColor="text1"/>
        </w:rPr>
      </w:pPr>
      <w:r w:rsidRPr="002E5F06">
        <w:rPr>
          <w:rFonts w:ascii="Noto Sans" w:eastAsia="Times New Roman" w:hAnsi="Noto Sans" w:cs="Noto Sans"/>
          <w:color w:val="000000" w:themeColor="text1"/>
        </w:rPr>
        <w:t>for K-12 funding</w:t>
      </w:r>
      <w:r w:rsidR="00D7327F">
        <w:rPr>
          <w:rFonts w:ascii="Noto Sans" w:eastAsia="Times New Roman" w:hAnsi="Noto Sans" w:cs="Noto Sans"/>
          <w:color w:val="000000" w:themeColor="text1"/>
        </w:rPr>
        <w:t xml:space="preserve"> [</w:t>
      </w:r>
      <w:r w:rsidRPr="002E5F06">
        <w:rPr>
          <w:rFonts w:ascii="Noto Sans" w:eastAsia="Times New Roman" w:hAnsi="Noto Sans" w:cs="Noto Sans"/>
          <w:color w:val="000000" w:themeColor="text1"/>
        </w:rPr>
        <w:t xml:space="preserve">Research </w:t>
      </w:r>
      <w:r w:rsidR="005056D8">
        <w:rPr>
          <w:rFonts w:ascii="Noto Sans" w:eastAsia="Times New Roman" w:hAnsi="Noto Sans" w:cs="Noto Sans"/>
          <w:color w:val="000000" w:themeColor="text1"/>
        </w:rPr>
        <w:t>r</w:t>
      </w:r>
      <w:r w:rsidRPr="002E5F06">
        <w:rPr>
          <w:rFonts w:ascii="Noto Sans" w:eastAsia="Times New Roman" w:hAnsi="Noto Sans" w:cs="Noto Sans"/>
          <w:color w:val="000000" w:themeColor="text1"/>
        </w:rPr>
        <w:t>eport</w:t>
      </w:r>
      <w:r w:rsidR="00D7327F">
        <w:rPr>
          <w:rFonts w:ascii="Noto Sans" w:eastAsia="Times New Roman" w:hAnsi="Noto Sans" w:cs="Noto Sans"/>
          <w:color w:val="000000" w:themeColor="text1"/>
        </w:rPr>
        <w:t>]</w:t>
      </w:r>
      <w:r w:rsidRPr="002E5F06">
        <w:rPr>
          <w:rFonts w:ascii="Noto Sans" w:eastAsia="Times New Roman" w:hAnsi="Noto Sans" w:cs="Noto Sans"/>
          <w:color w:val="000000" w:themeColor="text1"/>
        </w:rPr>
        <w:t xml:space="preserve">. </w:t>
      </w:r>
      <w:r w:rsidRPr="00572C5B">
        <w:rPr>
          <w:rFonts w:ascii="Noto Sans" w:eastAsia="Times New Roman" w:hAnsi="Noto Sans" w:cs="Noto Sans"/>
          <w:color w:val="000000" w:themeColor="text1"/>
        </w:rPr>
        <w:t>Urban Institute</w:t>
      </w:r>
      <w:r w:rsidRPr="002E5F06">
        <w:rPr>
          <w:rFonts w:ascii="Noto Sans" w:eastAsia="Times New Roman" w:hAnsi="Noto Sans" w:cs="Noto Sans"/>
          <w:color w:val="000000" w:themeColor="text1"/>
        </w:rPr>
        <w:t xml:space="preserve">. </w:t>
      </w:r>
      <w:hyperlink r:id="rId8" w:history="1">
        <w:r w:rsidRPr="00F22AEF">
          <w:rPr>
            <w:rStyle w:val="Hyperlink"/>
            <w:rFonts w:ascii="Noto Sans" w:eastAsia="Times New Roman" w:hAnsi="Noto Sans" w:cs="Noto Sans"/>
          </w:rPr>
          <w:t>https://www.urban.org/research/publication/small-and-sparse</w:t>
        </w:r>
      </w:hyperlink>
      <w:r>
        <w:rPr>
          <w:rFonts w:ascii="Noto Sans" w:eastAsia="Times New Roman" w:hAnsi="Noto Sans" w:cs="Noto Sans"/>
          <w:color w:val="000000" w:themeColor="text1"/>
        </w:rPr>
        <w:t xml:space="preserve"> </w:t>
      </w:r>
    </w:p>
    <w:p w14:paraId="2B52258D" w14:textId="77777777" w:rsidR="00695612" w:rsidRDefault="00695612" w:rsidP="00695612">
      <w:pPr>
        <w:rPr>
          <w:rFonts w:ascii="Noto Sans" w:hAnsi="Noto Sans" w:cs="Noto Sans"/>
        </w:rPr>
      </w:pPr>
      <w:r w:rsidRPr="00695612">
        <w:rPr>
          <w:rFonts w:ascii="Noto Sans" w:hAnsi="Noto Sans" w:cs="Noto Sans"/>
        </w:rPr>
        <w:t>Kolbe, T., Baker, B. D., Atchison, D., Levin, J., &amp; Harris, P. (2021). The additional cost</w:t>
      </w:r>
    </w:p>
    <w:p w14:paraId="300EFC6E" w14:textId="4200949D" w:rsidR="00695612" w:rsidRPr="00695612" w:rsidRDefault="00695612" w:rsidP="00695612">
      <w:pPr>
        <w:ind w:left="720"/>
        <w:rPr>
          <w:rFonts w:ascii="Noto Sans" w:eastAsia="Aptos" w:hAnsi="Noto Sans" w:cs="Noto Sans"/>
        </w:rPr>
      </w:pPr>
      <w:r w:rsidRPr="00695612">
        <w:rPr>
          <w:rFonts w:ascii="Noto Sans" w:hAnsi="Noto Sans" w:cs="Noto Sans"/>
        </w:rPr>
        <w:t xml:space="preserve">of operating rural schools: Evidence from Vermont. </w:t>
      </w:r>
      <w:r w:rsidRPr="00695612">
        <w:rPr>
          <w:rStyle w:val="Emphasis"/>
          <w:rFonts w:ascii="Noto Sans" w:hAnsi="Noto Sans" w:cs="Noto Sans"/>
        </w:rPr>
        <w:t>AERA Open, 7</w:t>
      </w:r>
      <w:r w:rsidRPr="00695612">
        <w:rPr>
          <w:rFonts w:ascii="Noto Sans" w:hAnsi="Noto Sans" w:cs="Noto Sans"/>
        </w:rPr>
        <w:t xml:space="preserve">(1), 1–16. </w:t>
      </w:r>
      <w:hyperlink r:id="rId9" w:tgtFrame="_new" w:history="1">
        <w:r w:rsidRPr="00695612">
          <w:rPr>
            <w:rStyle w:val="Hyperlink"/>
            <w:rFonts w:ascii="Noto Sans" w:hAnsi="Noto Sans" w:cs="Noto Sans"/>
          </w:rPr>
          <w:t>https://doi.org/10.1177/2332858420988868</w:t>
        </w:r>
      </w:hyperlink>
    </w:p>
    <w:p w14:paraId="130E3706" w14:textId="77777777" w:rsidR="00695612" w:rsidRDefault="00695612" w:rsidP="00695612">
      <w:pPr>
        <w:tabs>
          <w:tab w:val="left" w:pos="1036"/>
        </w:tabs>
        <w:rPr>
          <w:rFonts w:ascii="Noto Sans" w:hAnsi="Noto Sans" w:cs="Noto Sans"/>
        </w:rPr>
      </w:pPr>
      <w:r w:rsidRPr="00695612">
        <w:rPr>
          <w:rFonts w:ascii="Noto Sans" w:hAnsi="Noto Sans" w:cs="Noto Sans"/>
        </w:rPr>
        <w:t>Rauscher, E. (2020). Does money matter more in the country? Education funding</w:t>
      </w:r>
    </w:p>
    <w:p w14:paraId="4914A3D7" w14:textId="77777777" w:rsidR="00695612" w:rsidRDefault="00695612" w:rsidP="00695612">
      <w:pPr>
        <w:tabs>
          <w:tab w:val="left" w:pos="1036"/>
        </w:tabs>
        <w:rPr>
          <w:rFonts w:ascii="Noto Sans" w:hAnsi="Noto Sans" w:cs="Noto Sans"/>
        </w:rPr>
      </w:pPr>
      <w:r>
        <w:rPr>
          <w:rFonts w:ascii="Noto Sans" w:hAnsi="Noto Sans" w:cs="Noto Sans"/>
        </w:rPr>
        <w:tab/>
      </w:r>
      <w:r w:rsidRPr="00695612">
        <w:rPr>
          <w:rFonts w:ascii="Noto Sans" w:hAnsi="Noto Sans" w:cs="Noto Sans"/>
        </w:rPr>
        <w:t xml:space="preserve">reductions and achievement in Kansas, 2010–2018. </w:t>
      </w:r>
      <w:r w:rsidRPr="00695612">
        <w:rPr>
          <w:rStyle w:val="Emphasis"/>
          <w:rFonts w:ascii="Noto Sans" w:hAnsi="Noto Sans" w:cs="Noto Sans"/>
        </w:rPr>
        <w:t>AERA Open, 6</w:t>
      </w:r>
      <w:r w:rsidRPr="00695612">
        <w:rPr>
          <w:rFonts w:ascii="Noto Sans" w:hAnsi="Noto Sans" w:cs="Noto Sans"/>
        </w:rPr>
        <w:t>(4), 1–38.</w:t>
      </w:r>
    </w:p>
    <w:p w14:paraId="56952CBB" w14:textId="76991709" w:rsidR="00695612" w:rsidRPr="00695612" w:rsidRDefault="00695612" w:rsidP="00695612">
      <w:pPr>
        <w:tabs>
          <w:tab w:val="left" w:pos="1036"/>
        </w:tabs>
        <w:rPr>
          <w:rFonts w:ascii="Noto Sans" w:hAnsi="Noto Sans" w:cs="Noto Sans"/>
        </w:rPr>
      </w:pPr>
      <w:r>
        <w:rPr>
          <w:rFonts w:ascii="Noto Sans" w:hAnsi="Noto Sans" w:cs="Noto Sans"/>
        </w:rPr>
        <w:tab/>
      </w:r>
      <w:hyperlink r:id="rId10" w:history="1">
        <w:r w:rsidR="00B92891" w:rsidRPr="00D125BC">
          <w:rPr>
            <w:rStyle w:val="Hyperlink"/>
            <w:rFonts w:ascii="Noto Sans" w:hAnsi="Noto Sans" w:cs="Noto Sans"/>
          </w:rPr>
          <w:t>https://doi.org/10.1177/2332858420963685</w:t>
        </w:r>
      </w:hyperlink>
    </w:p>
    <w:p w14:paraId="648AD44B" w14:textId="2752B8ED" w:rsidR="004108AE" w:rsidRPr="00695612" w:rsidRDefault="004108AE" w:rsidP="00695612">
      <w:pPr>
        <w:rPr>
          <w:rFonts w:ascii="Noto Sans" w:eastAsia="Times New Roman" w:hAnsi="Noto Sans" w:cs="Noto Sans"/>
          <w:color w:val="000000" w:themeColor="text1"/>
        </w:rPr>
      </w:pPr>
      <w:r w:rsidRPr="00695612">
        <w:rPr>
          <w:rFonts w:ascii="Noto Sans" w:eastAsia="Times New Roman" w:hAnsi="Noto Sans" w:cs="Noto Sans"/>
          <w:color w:val="000000" w:themeColor="text1"/>
        </w:rPr>
        <w:t xml:space="preserve"> </w:t>
      </w:r>
    </w:p>
    <w:sectPr w:rsidR="004108AE" w:rsidRPr="00695612" w:rsidSect="00964743">
      <w:headerReference w:type="default" r:id="rId11"/>
      <w:footerReference w:type="default" r:id="rId12"/>
      <w:headerReference w:type="first" r:id="rId13"/>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652A5B47" w14:textId="77777777" w:rsidR="00D9778C" w:rsidRDefault="00D9778C" w:rsidP="00C9415B">
      <w:r>
        <w:separator/>
      </w:r>
    </w:p>
  </w:endnote>
  <w:endnote w:type="continuationSeparator" w:id="0">
    <w:p w14:paraId="0A18D898" w14:textId="77777777" w:rsidR="00D9778C" w:rsidRDefault="00D9778C" w:rsidP="00C941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Noto Sans Kannada">
    <w:panose1 w:val="020B0502040504020204"/>
    <w:charset w:val="00"/>
    <w:family w:val="swiss"/>
    <w:pitch w:val="variable"/>
    <w:sig w:usb0="80408003" w:usb1="00002042" w:usb2="00000000" w:usb3="00000000" w:csb0="00000001" w:csb1="00000000"/>
  </w:font>
  <w:font w:name="Noto Sans">
    <w:panose1 w:val="020B0502040504020204"/>
    <w:charset w:val="00"/>
    <w:family w:val="swiss"/>
    <w:pitch w:val="variable"/>
    <w:sig w:usb0="E00002FF" w:usb1="4000201F" w:usb2="08000029" w:usb3="00000000" w:csb0="0000019F" w:csb1="00000000"/>
  </w:font>
  <w:font w:name="Noto Serif">
    <w:panose1 w:val="02020600060500020200"/>
    <w:charset w:val="00"/>
    <w:family w:val="roman"/>
    <w:pitch w:val="variable"/>
    <w:sig w:usb0="E00002FF" w:usb1="500078FF" w:usb2="00000029" w:usb3="00000000" w:csb0="0000019F" w:csb1="00000000"/>
  </w:font>
  <w:font w:name="Aptos">
    <w:panose1 w:val="020B0004020202020204"/>
    <w:charset w:val="00"/>
    <w:family w:val="swiss"/>
    <w:pitch w:val="variable"/>
    <w:sig w:usb0="20000287" w:usb1="00000003"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EB900CA" w14:textId="24BC1DE2" w:rsidR="00C9415B" w:rsidRDefault="00C9415B" w:rsidP="00C9415B">
    <w:pPr>
      <w:pStyle w:val="Footer"/>
      <w:jc w:val="right"/>
    </w:pPr>
    <w:r>
      <w:rPr>
        <w:noProof/>
      </w:rPr>
      <w:drawing>
        <wp:inline distT="0" distB="0" distL="0" distR="0" wp14:anchorId="5FD32AC3" wp14:editId="3A6B0DE2">
          <wp:extent cx="768542" cy="156110"/>
          <wp:effectExtent l="0" t="0" r="0" b="0"/>
          <wp:docPr id="1785296412" name="Picture 3" descr="A blue circle with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5296412" name="Picture 3" descr="A blue circle with black background&#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flipV="1">
                    <a:off x="0" y="0"/>
                    <a:ext cx="852023" cy="173067"/>
                  </a:xfrm>
                  <a:prstGeom prst="rect">
                    <a:avLst/>
                  </a:prstGeom>
                </pic:spPr>
              </pic:pic>
            </a:graphicData>
          </a:graphic>
        </wp:inline>
      </w:drawing>
    </w:r>
  </w:p>
  <w:p w14:paraId="4E35E536" w14:textId="77777777" w:rsidR="00C9415B" w:rsidRDefault="00C9415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15FA556B" w14:textId="77777777" w:rsidR="00D9778C" w:rsidRDefault="00D9778C" w:rsidP="00C9415B">
      <w:r>
        <w:separator/>
      </w:r>
    </w:p>
  </w:footnote>
  <w:footnote w:type="continuationSeparator" w:id="0">
    <w:p w14:paraId="39918509" w14:textId="77777777" w:rsidR="00D9778C" w:rsidRDefault="00D9778C" w:rsidP="00C9415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F17699A" w14:textId="69752A61" w:rsidR="00C9415B" w:rsidRDefault="00C9415B">
    <w:pPr>
      <w:pStyle w:val="Header"/>
    </w:pPr>
  </w:p>
  <w:p w14:paraId="790D8787" w14:textId="77777777" w:rsidR="00C9415B" w:rsidRDefault="00C9415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8BD2C80" w14:textId="4EE7AC45" w:rsidR="00964743" w:rsidRDefault="00964743">
    <w:pPr>
      <w:pStyle w:val="Header"/>
    </w:pPr>
    <w:r>
      <w:rPr>
        <w:noProof/>
      </w:rPr>
      <w:drawing>
        <wp:inline distT="0" distB="0" distL="0" distR="0" wp14:anchorId="28C8B586" wp14:editId="36E8A315">
          <wp:extent cx="1206365" cy="904774"/>
          <wp:effectExtent l="0" t="0" r="0" b="0"/>
          <wp:docPr id="1414334287" name="Picture 1" descr="A logo with a light bulb and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4334287" name="Picture 1" descr="A logo with a light bulb and text&#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217493" cy="91312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29C22A6"/>
    <w:multiLevelType w:val="multilevel"/>
    <w:tmpl w:val="00BED0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D7B8F6F"/>
    <w:multiLevelType w:val="hybridMultilevel"/>
    <w:tmpl w:val="8D348286"/>
    <w:lvl w:ilvl="0" w:tplc="AECA137A">
      <w:start w:val="1"/>
      <w:numFmt w:val="decimal"/>
      <w:lvlText w:val="%1."/>
      <w:lvlJc w:val="left"/>
      <w:pPr>
        <w:ind w:left="720" w:hanging="360"/>
      </w:pPr>
    </w:lvl>
    <w:lvl w:ilvl="1" w:tplc="6D9A1E16">
      <w:start w:val="1"/>
      <w:numFmt w:val="lowerLetter"/>
      <w:lvlText w:val="%2."/>
      <w:lvlJc w:val="left"/>
      <w:pPr>
        <w:ind w:left="1440" w:hanging="360"/>
      </w:pPr>
    </w:lvl>
    <w:lvl w:ilvl="2" w:tplc="7E8AF7CE">
      <w:start w:val="1"/>
      <w:numFmt w:val="lowerRoman"/>
      <w:lvlText w:val="%3."/>
      <w:lvlJc w:val="right"/>
      <w:pPr>
        <w:ind w:left="2160" w:hanging="180"/>
      </w:pPr>
    </w:lvl>
    <w:lvl w:ilvl="3" w:tplc="662ACEB6">
      <w:start w:val="1"/>
      <w:numFmt w:val="decimal"/>
      <w:lvlText w:val="%4."/>
      <w:lvlJc w:val="left"/>
      <w:pPr>
        <w:ind w:left="2880" w:hanging="360"/>
      </w:pPr>
    </w:lvl>
    <w:lvl w:ilvl="4" w:tplc="D0B2DFD2">
      <w:start w:val="1"/>
      <w:numFmt w:val="lowerLetter"/>
      <w:lvlText w:val="%5."/>
      <w:lvlJc w:val="left"/>
      <w:pPr>
        <w:ind w:left="3600" w:hanging="360"/>
      </w:pPr>
    </w:lvl>
    <w:lvl w:ilvl="5" w:tplc="1C84530C">
      <w:start w:val="1"/>
      <w:numFmt w:val="lowerRoman"/>
      <w:lvlText w:val="%6."/>
      <w:lvlJc w:val="right"/>
      <w:pPr>
        <w:ind w:left="4320" w:hanging="180"/>
      </w:pPr>
    </w:lvl>
    <w:lvl w:ilvl="6" w:tplc="73B687E2">
      <w:start w:val="1"/>
      <w:numFmt w:val="decimal"/>
      <w:lvlText w:val="%7."/>
      <w:lvlJc w:val="left"/>
      <w:pPr>
        <w:ind w:left="5040" w:hanging="360"/>
      </w:pPr>
    </w:lvl>
    <w:lvl w:ilvl="7" w:tplc="7256CDBE">
      <w:start w:val="1"/>
      <w:numFmt w:val="lowerLetter"/>
      <w:lvlText w:val="%8."/>
      <w:lvlJc w:val="left"/>
      <w:pPr>
        <w:ind w:left="5760" w:hanging="360"/>
      </w:pPr>
    </w:lvl>
    <w:lvl w:ilvl="8" w:tplc="87DEB060">
      <w:start w:val="1"/>
      <w:numFmt w:val="lowerRoman"/>
      <w:lvlText w:val="%9."/>
      <w:lvlJc w:val="right"/>
      <w:pPr>
        <w:ind w:left="6480" w:hanging="180"/>
      </w:pPr>
    </w:lvl>
  </w:abstractNum>
  <w:abstractNum w:abstractNumId="2" w15:restartNumberingAfterBreak="0">
    <w:nsid w:val="44A54063"/>
    <w:multiLevelType w:val="multilevel"/>
    <w:tmpl w:val="BD5039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5460355A"/>
    <w:multiLevelType w:val="hybridMultilevel"/>
    <w:tmpl w:val="47C83E8E"/>
    <w:lvl w:ilvl="0" w:tplc="563CA314">
      <w:start w:val="1"/>
      <w:numFmt w:val="bullet"/>
      <w:lvlText w:val=""/>
      <w:lvlJc w:val="left"/>
      <w:pPr>
        <w:ind w:left="720" w:hanging="360"/>
      </w:pPr>
      <w:rPr>
        <w:rFonts w:ascii="Symbol" w:hAnsi="Symbol" w:hint="default"/>
      </w:rPr>
    </w:lvl>
    <w:lvl w:ilvl="1" w:tplc="CD68949E">
      <w:start w:val="1"/>
      <w:numFmt w:val="bullet"/>
      <w:lvlText w:val="o"/>
      <w:lvlJc w:val="left"/>
      <w:pPr>
        <w:ind w:left="1440" w:hanging="360"/>
      </w:pPr>
      <w:rPr>
        <w:rFonts w:ascii="Courier New" w:hAnsi="Courier New" w:hint="default"/>
      </w:rPr>
    </w:lvl>
    <w:lvl w:ilvl="2" w:tplc="D602B860">
      <w:start w:val="1"/>
      <w:numFmt w:val="bullet"/>
      <w:lvlText w:val=""/>
      <w:lvlJc w:val="left"/>
      <w:pPr>
        <w:ind w:left="2160" w:hanging="360"/>
      </w:pPr>
      <w:rPr>
        <w:rFonts w:ascii="Wingdings" w:hAnsi="Wingdings" w:hint="default"/>
      </w:rPr>
    </w:lvl>
    <w:lvl w:ilvl="3" w:tplc="CCE89242">
      <w:start w:val="1"/>
      <w:numFmt w:val="bullet"/>
      <w:lvlText w:val=""/>
      <w:lvlJc w:val="left"/>
      <w:pPr>
        <w:ind w:left="2880" w:hanging="360"/>
      </w:pPr>
      <w:rPr>
        <w:rFonts w:ascii="Symbol" w:hAnsi="Symbol" w:hint="default"/>
      </w:rPr>
    </w:lvl>
    <w:lvl w:ilvl="4" w:tplc="60A06FAA">
      <w:start w:val="1"/>
      <w:numFmt w:val="bullet"/>
      <w:lvlText w:val="o"/>
      <w:lvlJc w:val="left"/>
      <w:pPr>
        <w:ind w:left="3600" w:hanging="360"/>
      </w:pPr>
      <w:rPr>
        <w:rFonts w:ascii="Courier New" w:hAnsi="Courier New" w:hint="default"/>
      </w:rPr>
    </w:lvl>
    <w:lvl w:ilvl="5" w:tplc="2962200A">
      <w:start w:val="1"/>
      <w:numFmt w:val="bullet"/>
      <w:lvlText w:val=""/>
      <w:lvlJc w:val="left"/>
      <w:pPr>
        <w:ind w:left="4320" w:hanging="360"/>
      </w:pPr>
      <w:rPr>
        <w:rFonts w:ascii="Wingdings" w:hAnsi="Wingdings" w:hint="default"/>
      </w:rPr>
    </w:lvl>
    <w:lvl w:ilvl="6" w:tplc="A710C288">
      <w:start w:val="1"/>
      <w:numFmt w:val="bullet"/>
      <w:lvlText w:val=""/>
      <w:lvlJc w:val="left"/>
      <w:pPr>
        <w:ind w:left="5040" w:hanging="360"/>
      </w:pPr>
      <w:rPr>
        <w:rFonts w:ascii="Symbol" w:hAnsi="Symbol" w:hint="default"/>
      </w:rPr>
    </w:lvl>
    <w:lvl w:ilvl="7" w:tplc="6F28BDE2">
      <w:start w:val="1"/>
      <w:numFmt w:val="bullet"/>
      <w:lvlText w:val="o"/>
      <w:lvlJc w:val="left"/>
      <w:pPr>
        <w:ind w:left="5760" w:hanging="360"/>
      </w:pPr>
      <w:rPr>
        <w:rFonts w:ascii="Courier New" w:hAnsi="Courier New" w:hint="default"/>
      </w:rPr>
    </w:lvl>
    <w:lvl w:ilvl="8" w:tplc="3AC04F38">
      <w:start w:val="1"/>
      <w:numFmt w:val="bullet"/>
      <w:lvlText w:val=""/>
      <w:lvlJc w:val="left"/>
      <w:pPr>
        <w:ind w:left="6480" w:hanging="360"/>
      </w:pPr>
      <w:rPr>
        <w:rFonts w:ascii="Wingdings" w:hAnsi="Wingdings" w:hint="default"/>
      </w:rPr>
    </w:lvl>
  </w:abstractNum>
  <w:abstractNum w:abstractNumId="4" w15:restartNumberingAfterBreak="0">
    <w:nsid w:val="64707170"/>
    <w:multiLevelType w:val="hybridMultilevel"/>
    <w:tmpl w:val="16A62588"/>
    <w:lvl w:ilvl="0" w:tplc="36F6D2EC">
      <w:start w:val="1"/>
      <w:numFmt w:val="decimal"/>
      <w:lvlText w:val="%1."/>
      <w:lvlJc w:val="left"/>
      <w:pPr>
        <w:ind w:left="720" w:hanging="360"/>
      </w:pPr>
    </w:lvl>
    <w:lvl w:ilvl="1" w:tplc="280802CC">
      <w:start w:val="1"/>
      <w:numFmt w:val="lowerLetter"/>
      <w:lvlText w:val="%2."/>
      <w:lvlJc w:val="left"/>
      <w:pPr>
        <w:ind w:left="1440" w:hanging="360"/>
      </w:pPr>
    </w:lvl>
    <w:lvl w:ilvl="2" w:tplc="86D2B5F8">
      <w:start w:val="1"/>
      <w:numFmt w:val="lowerRoman"/>
      <w:lvlText w:val="%3."/>
      <w:lvlJc w:val="right"/>
      <w:pPr>
        <w:ind w:left="2160" w:hanging="180"/>
      </w:pPr>
    </w:lvl>
    <w:lvl w:ilvl="3" w:tplc="9EA81B72">
      <w:start w:val="1"/>
      <w:numFmt w:val="decimal"/>
      <w:lvlText w:val="%4."/>
      <w:lvlJc w:val="left"/>
      <w:pPr>
        <w:ind w:left="2880" w:hanging="360"/>
      </w:pPr>
    </w:lvl>
    <w:lvl w:ilvl="4" w:tplc="676AA3EE">
      <w:start w:val="1"/>
      <w:numFmt w:val="lowerLetter"/>
      <w:lvlText w:val="%5."/>
      <w:lvlJc w:val="left"/>
      <w:pPr>
        <w:ind w:left="3600" w:hanging="360"/>
      </w:pPr>
    </w:lvl>
    <w:lvl w:ilvl="5" w:tplc="4A7E1886">
      <w:start w:val="1"/>
      <w:numFmt w:val="lowerRoman"/>
      <w:lvlText w:val="%6."/>
      <w:lvlJc w:val="right"/>
      <w:pPr>
        <w:ind w:left="4320" w:hanging="180"/>
      </w:pPr>
    </w:lvl>
    <w:lvl w:ilvl="6" w:tplc="356834BA">
      <w:start w:val="1"/>
      <w:numFmt w:val="decimal"/>
      <w:lvlText w:val="%7."/>
      <w:lvlJc w:val="left"/>
      <w:pPr>
        <w:ind w:left="5040" w:hanging="360"/>
      </w:pPr>
    </w:lvl>
    <w:lvl w:ilvl="7" w:tplc="2152CB1E">
      <w:start w:val="1"/>
      <w:numFmt w:val="lowerLetter"/>
      <w:lvlText w:val="%8."/>
      <w:lvlJc w:val="left"/>
      <w:pPr>
        <w:ind w:left="5760" w:hanging="360"/>
      </w:pPr>
    </w:lvl>
    <w:lvl w:ilvl="8" w:tplc="E174BF74">
      <w:start w:val="1"/>
      <w:numFmt w:val="lowerRoman"/>
      <w:lvlText w:val="%9."/>
      <w:lvlJc w:val="right"/>
      <w:pPr>
        <w:ind w:left="6480" w:hanging="180"/>
      </w:pPr>
    </w:lvl>
  </w:abstractNum>
  <w:abstractNum w:abstractNumId="5" w15:restartNumberingAfterBreak="0">
    <w:nsid w:val="73F852F1"/>
    <w:multiLevelType w:val="hybridMultilevel"/>
    <w:tmpl w:val="3F68DE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67480433">
    <w:abstractNumId w:val="1"/>
  </w:num>
  <w:num w:numId="2" w16cid:durableId="1266494504">
    <w:abstractNumId w:val="3"/>
  </w:num>
  <w:num w:numId="3" w16cid:durableId="1946038118">
    <w:abstractNumId w:val="4"/>
  </w:num>
  <w:num w:numId="4" w16cid:durableId="947811221">
    <w:abstractNumId w:val="5"/>
  </w:num>
  <w:num w:numId="5" w16cid:durableId="1584335146">
    <w:abstractNumId w:val="0"/>
  </w:num>
  <w:num w:numId="6" w16cid:durableId="1228227858">
    <w:abstractNumId w:val="2"/>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4"/>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010D"/>
    <w:rsid w:val="0001337E"/>
    <w:rsid w:val="00024996"/>
    <w:rsid w:val="00054244"/>
    <w:rsid w:val="000B68DD"/>
    <w:rsid w:val="000C4A2E"/>
    <w:rsid w:val="000E4975"/>
    <w:rsid w:val="00112CD9"/>
    <w:rsid w:val="00145A3A"/>
    <w:rsid w:val="00154DF1"/>
    <w:rsid w:val="001A6068"/>
    <w:rsid w:val="001B34BA"/>
    <w:rsid w:val="001C78D5"/>
    <w:rsid w:val="001D281C"/>
    <w:rsid w:val="001E115B"/>
    <w:rsid w:val="002466FF"/>
    <w:rsid w:val="002A7D90"/>
    <w:rsid w:val="002C03A7"/>
    <w:rsid w:val="002C4253"/>
    <w:rsid w:val="002E5F06"/>
    <w:rsid w:val="003213AE"/>
    <w:rsid w:val="003275E2"/>
    <w:rsid w:val="00381FC7"/>
    <w:rsid w:val="004108AE"/>
    <w:rsid w:val="004239E8"/>
    <w:rsid w:val="004267B9"/>
    <w:rsid w:val="00442036"/>
    <w:rsid w:val="00463172"/>
    <w:rsid w:val="004B0EAB"/>
    <w:rsid w:val="004C5130"/>
    <w:rsid w:val="004F6A14"/>
    <w:rsid w:val="005056D8"/>
    <w:rsid w:val="005132FF"/>
    <w:rsid w:val="005344F9"/>
    <w:rsid w:val="00572C5B"/>
    <w:rsid w:val="00595201"/>
    <w:rsid w:val="005A699B"/>
    <w:rsid w:val="005D5416"/>
    <w:rsid w:val="00627D30"/>
    <w:rsid w:val="006402FE"/>
    <w:rsid w:val="00656498"/>
    <w:rsid w:val="00695612"/>
    <w:rsid w:val="006B3D4A"/>
    <w:rsid w:val="006C05D8"/>
    <w:rsid w:val="006D0E8C"/>
    <w:rsid w:val="006F6CA4"/>
    <w:rsid w:val="00736D59"/>
    <w:rsid w:val="007423F8"/>
    <w:rsid w:val="00782F55"/>
    <w:rsid w:val="00783553"/>
    <w:rsid w:val="007860F3"/>
    <w:rsid w:val="00796E3A"/>
    <w:rsid w:val="007D017A"/>
    <w:rsid w:val="007E7A83"/>
    <w:rsid w:val="00834765"/>
    <w:rsid w:val="0084269A"/>
    <w:rsid w:val="0089474F"/>
    <w:rsid w:val="008A336D"/>
    <w:rsid w:val="008F5E15"/>
    <w:rsid w:val="008F70CC"/>
    <w:rsid w:val="00917AC8"/>
    <w:rsid w:val="009462AB"/>
    <w:rsid w:val="00964743"/>
    <w:rsid w:val="00965988"/>
    <w:rsid w:val="009903F3"/>
    <w:rsid w:val="009A25E1"/>
    <w:rsid w:val="009D2269"/>
    <w:rsid w:val="009E23B1"/>
    <w:rsid w:val="009E6455"/>
    <w:rsid w:val="00A27810"/>
    <w:rsid w:val="00A33AAB"/>
    <w:rsid w:val="00A64AAD"/>
    <w:rsid w:val="00A70D61"/>
    <w:rsid w:val="00AC4021"/>
    <w:rsid w:val="00AE5E1A"/>
    <w:rsid w:val="00B12DC4"/>
    <w:rsid w:val="00B21E84"/>
    <w:rsid w:val="00B37489"/>
    <w:rsid w:val="00B84093"/>
    <w:rsid w:val="00B92891"/>
    <w:rsid w:val="00BA3BD0"/>
    <w:rsid w:val="00BE045D"/>
    <w:rsid w:val="00C21A44"/>
    <w:rsid w:val="00C9415B"/>
    <w:rsid w:val="00D1010D"/>
    <w:rsid w:val="00D70F18"/>
    <w:rsid w:val="00D7327F"/>
    <w:rsid w:val="00D743D0"/>
    <w:rsid w:val="00D9778C"/>
    <w:rsid w:val="00DB3981"/>
    <w:rsid w:val="00E07F84"/>
    <w:rsid w:val="00EC1457"/>
    <w:rsid w:val="00ED197E"/>
    <w:rsid w:val="00ED71AA"/>
    <w:rsid w:val="00ED7819"/>
    <w:rsid w:val="00EE6E42"/>
    <w:rsid w:val="00F03C43"/>
    <w:rsid w:val="00F50769"/>
    <w:rsid w:val="00F55797"/>
    <w:rsid w:val="00F60FBA"/>
    <w:rsid w:val="00F653D5"/>
    <w:rsid w:val="00F87D3D"/>
    <w:rsid w:val="057F7CE2"/>
    <w:rsid w:val="2A7D1B59"/>
    <w:rsid w:val="3AE9B2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D877C3"/>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Heading3Char"/>
    <w:uiPriority w:val="9"/>
    <w:qFormat/>
    <w:rsid w:val="002E5F06"/>
    <w:pPr>
      <w:spacing w:before="100" w:beforeAutospacing="1" w:after="100" w:afterAutospacing="1"/>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2A7D1B59"/>
    <w:rPr>
      <w:color w:val="0563C1"/>
      <w:u w:val="single"/>
    </w:rPr>
  </w:style>
  <w:style w:type="paragraph" w:styleId="ListParagraph">
    <w:name w:val="List Paragraph"/>
    <w:basedOn w:val="Normal"/>
    <w:uiPriority w:val="34"/>
    <w:qFormat/>
    <w:rsid w:val="2A7D1B59"/>
    <w:pPr>
      <w:ind w:left="720"/>
      <w:contextualSpacing/>
    </w:pPr>
  </w:style>
  <w:style w:type="paragraph" w:styleId="Header">
    <w:name w:val="header"/>
    <w:basedOn w:val="Normal"/>
    <w:link w:val="HeaderChar"/>
    <w:uiPriority w:val="99"/>
    <w:unhideWhenUsed/>
    <w:rsid w:val="00C9415B"/>
    <w:pPr>
      <w:tabs>
        <w:tab w:val="center" w:pos="4680"/>
        <w:tab w:val="right" w:pos="9360"/>
      </w:tabs>
    </w:pPr>
  </w:style>
  <w:style w:type="character" w:customStyle="1" w:styleId="HeaderChar">
    <w:name w:val="Header Char"/>
    <w:basedOn w:val="DefaultParagraphFont"/>
    <w:link w:val="Header"/>
    <w:uiPriority w:val="99"/>
    <w:rsid w:val="00C9415B"/>
  </w:style>
  <w:style w:type="paragraph" w:styleId="Footer">
    <w:name w:val="footer"/>
    <w:basedOn w:val="Normal"/>
    <w:link w:val="FooterChar"/>
    <w:uiPriority w:val="99"/>
    <w:unhideWhenUsed/>
    <w:rsid w:val="00C9415B"/>
    <w:pPr>
      <w:tabs>
        <w:tab w:val="center" w:pos="4680"/>
        <w:tab w:val="right" w:pos="9360"/>
      </w:tabs>
    </w:pPr>
  </w:style>
  <w:style w:type="character" w:customStyle="1" w:styleId="FooterChar">
    <w:name w:val="Footer Char"/>
    <w:basedOn w:val="DefaultParagraphFont"/>
    <w:link w:val="Footer"/>
    <w:uiPriority w:val="99"/>
    <w:rsid w:val="00C9415B"/>
  </w:style>
  <w:style w:type="paragraph" w:styleId="Revision">
    <w:name w:val="Revision"/>
    <w:hidden/>
    <w:uiPriority w:val="99"/>
    <w:semiHidden/>
    <w:rsid w:val="00C9415B"/>
  </w:style>
  <w:style w:type="character" w:styleId="CommentReference">
    <w:name w:val="annotation reference"/>
    <w:basedOn w:val="DefaultParagraphFont"/>
    <w:uiPriority w:val="99"/>
    <w:semiHidden/>
    <w:unhideWhenUsed/>
    <w:rsid w:val="00C9415B"/>
    <w:rPr>
      <w:sz w:val="16"/>
      <w:szCs w:val="16"/>
    </w:rPr>
  </w:style>
  <w:style w:type="paragraph" w:styleId="CommentText">
    <w:name w:val="annotation text"/>
    <w:basedOn w:val="Normal"/>
    <w:link w:val="CommentTextChar"/>
    <w:uiPriority w:val="99"/>
    <w:semiHidden/>
    <w:unhideWhenUsed/>
    <w:rsid w:val="00C9415B"/>
    <w:rPr>
      <w:sz w:val="20"/>
      <w:szCs w:val="20"/>
    </w:rPr>
  </w:style>
  <w:style w:type="character" w:customStyle="1" w:styleId="CommentTextChar">
    <w:name w:val="Comment Text Char"/>
    <w:basedOn w:val="DefaultParagraphFont"/>
    <w:link w:val="CommentText"/>
    <w:uiPriority w:val="99"/>
    <w:semiHidden/>
    <w:rsid w:val="00C9415B"/>
    <w:rPr>
      <w:sz w:val="20"/>
      <w:szCs w:val="20"/>
    </w:rPr>
  </w:style>
  <w:style w:type="paragraph" w:styleId="CommentSubject">
    <w:name w:val="annotation subject"/>
    <w:basedOn w:val="CommentText"/>
    <w:next w:val="CommentText"/>
    <w:link w:val="CommentSubjectChar"/>
    <w:uiPriority w:val="99"/>
    <w:semiHidden/>
    <w:unhideWhenUsed/>
    <w:rsid w:val="00C9415B"/>
    <w:rPr>
      <w:b/>
      <w:bCs/>
    </w:rPr>
  </w:style>
  <w:style w:type="character" w:customStyle="1" w:styleId="CommentSubjectChar">
    <w:name w:val="Comment Subject Char"/>
    <w:basedOn w:val="CommentTextChar"/>
    <w:link w:val="CommentSubject"/>
    <w:uiPriority w:val="99"/>
    <w:semiHidden/>
    <w:rsid w:val="00C9415B"/>
    <w:rPr>
      <w:b/>
      <w:bCs/>
      <w:sz w:val="20"/>
      <w:szCs w:val="20"/>
    </w:rPr>
  </w:style>
  <w:style w:type="character" w:styleId="UnresolvedMention">
    <w:name w:val="Unresolved Mention"/>
    <w:basedOn w:val="DefaultParagraphFont"/>
    <w:uiPriority w:val="99"/>
    <w:rsid w:val="0089474F"/>
    <w:rPr>
      <w:color w:val="605E5C"/>
      <w:shd w:val="clear" w:color="auto" w:fill="E1DFDD"/>
    </w:rPr>
  </w:style>
  <w:style w:type="character" w:customStyle="1" w:styleId="Heading3Char">
    <w:name w:val="Heading 3 Char"/>
    <w:basedOn w:val="DefaultParagraphFont"/>
    <w:link w:val="Heading3"/>
    <w:uiPriority w:val="9"/>
    <w:rsid w:val="002E5F06"/>
    <w:rPr>
      <w:rFonts w:ascii="Times New Roman" w:eastAsia="Times New Roman" w:hAnsi="Times New Roman" w:cs="Times New Roman"/>
      <w:b/>
      <w:bCs/>
      <w:sz w:val="27"/>
      <w:szCs w:val="27"/>
    </w:rPr>
  </w:style>
  <w:style w:type="character" w:styleId="Strong">
    <w:name w:val="Strong"/>
    <w:basedOn w:val="DefaultParagraphFont"/>
    <w:uiPriority w:val="22"/>
    <w:qFormat/>
    <w:rsid w:val="002E5F06"/>
    <w:rPr>
      <w:b/>
      <w:bCs/>
    </w:rPr>
  </w:style>
  <w:style w:type="paragraph" w:styleId="NormalWeb">
    <w:name w:val="Normal (Web)"/>
    <w:basedOn w:val="Normal"/>
    <w:uiPriority w:val="99"/>
    <w:semiHidden/>
    <w:unhideWhenUsed/>
    <w:rsid w:val="002E5F06"/>
    <w:pPr>
      <w:spacing w:before="100" w:beforeAutospacing="1" w:after="100" w:afterAutospacing="1"/>
    </w:pPr>
    <w:rPr>
      <w:rFonts w:ascii="Times New Roman" w:eastAsia="Times New Roman" w:hAnsi="Times New Roman" w:cs="Times New Roman"/>
    </w:rPr>
  </w:style>
  <w:style w:type="character" w:styleId="Emphasis">
    <w:name w:val="Emphasis"/>
    <w:basedOn w:val="DefaultParagraphFont"/>
    <w:uiPriority w:val="20"/>
    <w:qFormat/>
    <w:rsid w:val="0069561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rban.org/research/publication/small-and-sparse" TargetMode="External"/><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yperlink" Target="https://doi.org/10.1177/2332858420982549"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doi.org/10.1177/2332858420963685" TargetMode="External"/><Relationship Id="rId4" Type="http://schemas.openxmlformats.org/officeDocument/2006/relationships/webSettings" Target="webSettings.xml"/><Relationship Id="rId9" Type="http://schemas.openxmlformats.org/officeDocument/2006/relationships/hyperlink" Target="https://doi.org/10.1177/2332858420988868"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3</Pages>
  <Words>850</Words>
  <Characters>5211</Characters>
  <Application>Microsoft Office Word</Application>
  <DocSecurity>0</DocSecurity>
  <Lines>98</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Kim Sterin</cp:lastModifiedBy>
  <cp:revision>4</cp:revision>
  <dcterms:created xsi:type="dcterms:W3CDTF">2026-07-20T20:31:00Z</dcterms:created>
  <dcterms:modified xsi:type="dcterms:W3CDTF">2026-07-21T20:13:00Z</dcterms:modified>
</cp:coreProperties>
</file>