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85AE" w14:textId="6C23B24F" w:rsidR="057F7CE2" w:rsidRDefault="057F7CE2" w:rsidP="057F7CE2">
      <w:pPr>
        <w:rPr>
          <w:rFonts w:ascii="Noto Sans Kannada" w:eastAsia="Times New Roman" w:hAnsi="Noto Sans Kannada" w:cs="Noto Sans Kannada"/>
          <w:b/>
          <w:bCs/>
        </w:rPr>
      </w:pPr>
    </w:p>
    <w:p w14:paraId="24B10CE6" w14:textId="77777777" w:rsidR="007D27A6" w:rsidRPr="00314717" w:rsidRDefault="007D27A6" w:rsidP="007D27A6">
      <w:pPr>
        <w:jc w:val="both"/>
        <w:rPr>
          <w:rFonts w:ascii="Noto Sans" w:eastAsia="Times New Roman" w:hAnsi="Noto Sans" w:cs="Noto Sans"/>
          <w:b/>
          <w:bCs/>
          <w:sz w:val="18"/>
          <w:szCs w:val="18"/>
        </w:rPr>
      </w:pPr>
      <w:r w:rsidRPr="00314717">
        <w:rPr>
          <w:rFonts w:ascii="Noto Sans" w:eastAsia="Times New Roman" w:hAnsi="Noto Sans" w:cs="Noto Sans"/>
          <w:b/>
          <w:bCs/>
          <w:sz w:val="18"/>
          <w:szCs w:val="18"/>
        </w:rPr>
        <w:t xml:space="preserve">This one-pager is designed to be white-labeled for use by advocates and policy organizations. You are welcome to keep the </w:t>
      </w:r>
      <w:r w:rsidRPr="00314717">
        <w:rPr>
          <w:rFonts w:ascii="Noto Sans" w:eastAsia="Times New Roman" w:hAnsi="Noto Sans" w:cs="Noto Sans"/>
          <w:b/>
          <w:bCs/>
          <w:color w:val="11698C"/>
          <w:sz w:val="18"/>
          <w:szCs w:val="18"/>
        </w:rPr>
        <w:t>EdFund</w:t>
      </w:r>
      <w:r w:rsidRPr="00314717">
        <w:rPr>
          <w:rFonts w:ascii="Noto Sans" w:eastAsia="Times New Roman" w:hAnsi="Noto Sans" w:cs="Noto Sans"/>
          <w:b/>
          <w:bCs/>
          <w:sz w:val="18"/>
          <w:szCs w:val="18"/>
        </w:rPr>
        <w:t xml:space="preserve"> logo, add your organization’s branding alongside it, or replace it entirely when sharing this resource. Our goal is to make these materials as useful as possible for advancing evidence-based school finance policy.</w:t>
      </w:r>
    </w:p>
    <w:p w14:paraId="15A0B3A5" w14:textId="77777777" w:rsidR="00783988" w:rsidRDefault="00783988" w:rsidP="00783988">
      <w:pPr>
        <w:rPr>
          <w:rFonts w:ascii="Times New Roman" w:eastAsia="Times New Roman" w:hAnsi="Times New Roman" w:cs="Times New Roman"/>
          <w:b/>
          <w:bCs/>
        </w:rPr>
      </w:pPr>
    </w:p>
    <w:p w14:paraId="22E1EAD8" w14:textId="732F1EC9" w:rsidR="007D27A6" w:rsidRDefault="007D27A6" w:rsidP="00783988">
      <w:pPr>
        <w:rPr>
          <w:rFonts w:ascii="Times New Roman" w:eastAsia="Times New Roman" w:hAnsi="Times New Roman" w:cs="Times New Roman"/>
          <w:b/>
          <w:bCs/>
        </w:rPr>
      </w:pPr>
      <w:r>
        <w:rPr>
          <w:rFonts w:ascii="Noto Serif" w:eastAsia="Times New Roman" w:hAnsi="Noto Serif" w:cs="Noto Serif"/>
          <w:noProof/>
          <w:sz w:val="18"/>
          <w:szCs w:val="18"/>
        </w:rPr>
        <mc:AlternateContent>
          <mc:Choice Requires="wps">
            <w:drawing>
              <wp:anchor distT="0" distB="0" distL="114300" distR="114300" simplePos="0" relativeHeight="251659264" behindDoc="0" locked="0" layoutInCell="1" allowOverlap="1" wp14:anchorId="71BCEA18" wp14:editId="2D82B308">
                <wp:simplePos x="0" y="0"/>
                <wp:positionH relativeFrom="margin">
                  <wp:align>center</wp:align>
                </wp:positionH>
                <wp:positionV relativeFrom="paragraph">
                  <wp:posOffset>0</wp:posOffset>
                </wp:positionV>
                <wp:extent cx="5588000" cy="0"/>
                <wp:effectExtent l="0" t="0" r="12700" b="12700"/>
                <wp:wrapNone/>
                <wp:docPr id="793574762"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a:ln>
                          <a:solidFill>
                            <a:srgbClr val="FFAE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0F43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0" to="4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" strokecolor="#ffae3f" strokeweight=".5pt">
                <v:stroke joinstyle="miter"/>
                <w10:wrap anchorx="margin"/>
              </v:line>
            </w:pict>
          </mc:Fallback>
        </mc:AlternateContent>
      </w:r>
    </w:p>
    <w:p w14:paraId="701357EF" w14:textId="28E8EBC4" w:rsidR="00783988" w:rsidRPr="007D27A6" w:rsidRDefault="00783988" w:rsidP="00783988">
      <w:pPr>
        <w:rPr>
          <w:rFonts w:ascii="Noto Sans" w:eastAsia="Times New Roman" w:hAnsi="Noto Sans" w:cs="Noto Sans"/>
          <w:color w:val="11698C"/>
          <w:sz w:val="32"/>
          <w:szCs w:val="32"/>
        </w:rPr>
      </w:pPr>
      <w:r w:rsidRPr="007D27A6">
        <w:rPr>
          <w:rFonts w:ascii="Noto Sans" w:eastAsia="Times New Roman" w:hAnsi="Noto Sans" w:cs="Noto Sans"/>
          <w:b/>
          <w:bCs/>
          <w:color w:val="11698C"/>
          <w:sz w:val="32"/>
          <w:szCs w:val="32"/>
        </w:rPr>
        <w:t>Capital Investments</w:t>
      </w:r>
    </w:p>
    <w:p w14:paraId="31215925" w14:textId="77777777" w:rsidR="00783988" w:rsidRPr="007D27A6" w:rsidRDefault="00783988" w:rsidP="00783988">
      <w:pPr>
        <w:rPr>
          <w:rFonts w:ascii="Noto Sans" w:eastAsia="Times New Roman" w:hAnsi="Noto Sans" w:cs="Noto Sans"/>
        </w:rPr>
      </w:pPr>
    </w:p>
    <w:p w14:paraId="6765BAE1" w14:textId="170BB109" w:rsidR="00783988" w:rsidRPr="007D27A6" w:rsidRDefault="00783988" w:rsidP="007D27A6">
      <w:pPr>
        <w:jc w:val="both"/>
        <w:rPr>
          <w:rFonts w:ascii="Noto Sans" w:eastAsia="Times New Roman" w:hAnsi="Noto Sans" w:cs="Noto Sans"/>
        </w:rPr>
      </w:pPr>
      <w:r w:rsidRPr="007D27A6">
        <w:rPr>
          <w:rFonts w:ascii="Noto Sans" w:eastAsia="Times New Roman" w:hAnsi="Noto Sans" w:cs="Noto Sans"/>
        </w:rPr>
        <w:t>Public school construction and renovation in the United States are financed predominantly at the local level, with school districts responsible for approximately</w:t>
      </w:r>
      <w:r w:rsidR="00303003">
        <w:rPr>
          <w:rFonts w:ascii="Noto Sans" w:eastAsia="Times New Roman" w:hAnsi="Noto Sans" w:cs="Noto Sans"/>
        </w:rPr>
        <w:t xml:space="preserve"> </w:t>
      </w:r>
      <w:r w:rsidRPr="007D27A6">
        <w:rPr>
          <w:rFonts w:ascii="Noto Sans" w:eastAsia="Times New Roman" w:hAnsi="Noto Sans" w:cs="Noto Sans"/>
        </w:rPr>
        <w:t>80% of capital expenditures</w:t>
      </w:r>
      <w:r w:rsidR="003951EE">
        <w:rPr>
          <w:rFonts w:ascii="Noto Sans" w:eastAsia="Times New Roman" w:hAnsi="Noto Sans" w:cs="Noto Sans"/>
        </w:rPr>
        <w:t xml:space="preserve"> (Filardo, 2025)</w:t>
      </w:r>
      <w:r w:rsidRPr="007D27A6">
        <w:rPr>
          <w:rFonts w:ascii="Noto Sans" w:eastAsia="Times New Roman" w:hAnsi="Noto Sans" w:cs="Noto Sans"/>
        </w:rPr>
        <w:t>. This funding is most commonly raised through local general obligation bonds, which require voter approval in most states and are repaid through local property tax increases. Consequently, the ability to fund school construction depends substantially on local property wealth, creating a landscape where the wealthiest districts can raise up to 420% more revenue per pupil than the poorest (Brunner et al., 2023). State participation in school construction funding varies drastically: some states provide significant direct aid or technical support, while others have not maintained active state aid programs for extended periods. States sometimes provide matching grants to districts who have already passed local levies, grants for construction and maintenance based on wealth formulas, or direct state appropriations. In all, twenty-eight states now include an equity component in their aid programs to prioritize low-wealth districts, but the size and proportion of state funding for facilities varies substantially (</w:t>
      </w:r>
      <w:r w:rsidRPr="007D27A6">
        <w:rPr>
          <w:rFonts w:ascii="Noto Sans" w:eastAsia="Times New Roman" w:hAnsi="Noto Sans" w:cs="Noto Sans"/>
          <w:color w:val="000000" w:themeColor="text1"/>
        </w:rPr>
        <w:t>Education Commission of the States, 2023)</w:t>
      </w:r>
      <w:r w:rsidRPr="007D27A6">
        <w:rPr>
          <w:rFonts w:ascii="Noto Sans" w:eastAsia="Times New Roman" w:hAnsi="Noto Sans" w:cs="Noto Sans"/>
        </w:rPr>
        <w:t>.</w:t>
      </w:r>
    </w:p>
    <w:p w14:paraId="44BF2CCB" w14:textId="77777777" w:rsidR="00783988" w:rsidRPr="007D27A6" w:rsidRDefault="00783988" w:rsidP="00783988">
      <w:pPr>
        <w:rPr>
          <w:rFonts w:ascii="Noto Sans" w:eastAsia="Times New Roman" w:hAnsi="Noto Sans" w:cs="Noto Sans"/>
          <w:b/>
          <w:bCs/>
        </w:rPr>
      </w:pPr>
    </w:p>
    <w:p w14:paraId="75264687" w14:textId="77777777" w:rsidR="00783988" w:rsidRPr="007D27A6" w:rsidRDefault="00783988" w:rsidP="00783988">
      <w:pPr>
        <w:rPr>
          <w:rFonts w:ascii="Noto Sans" w:eastAsia="Times New Roman" w:hAnsi="Noto Sans" w:cs="Noto Sans"/>
          <w:color w:val="11698C"/>
        </w:rPr>
      </w:pPr>
      <w:r w:rsidRPr="007D27A6">
        <w:rPr>
          <w:rFonts w:ascii="Noto Sans" w:eastAsia="Times New Roman" w:hAnsi="Noto Sans" w:cs="Noto Sans"/>
          <w:b/>
          <w:bCs/>
          <w:color w:val="11698C"/>
        </w:rPr>
        <w:t>What the Research Says</w:t>
      </w:r>
    </w:p>
    <w:p w14:paraId="586CA0A1" w14:textId="3940D279" w:rsidR="00783988" w:rsidRDefault="00783988" w:rsidP="007D27A6">
      <w:pPr>
        <w:jc w:val="both"/>
        <w:rPr>
          <w:rFonts w:ascii="Noto Sans" w:eastAsia="Times New Roman" w:hAnsi="Noto Sans" w:cs="Noto Sans"/>
        </w:rPr>
      </w:pPr>
      <w:r w:rsidRPr="007D27A6">
        <w:rPr>
          <w:rFonts w:ascii="Noto Sans" w:eastAsia="Times New Roman" w:hAnsi="Noto Sans" w:cs="Noto Sans"/>
        </w:rPr>
        <w:t xml:space="preserve">Earlier research on the relationship between school facilities and achievement produced mixed results, but a growing body of evidence suggests that capital investments significantly improve student outcomes, with effects often emerging five to six years after funding as projects are completed. Research consistently finds that low-income </w:t>
      </w:r>
      <w:r w:rsidR="00F015DA">
        <w:rPr>
          <w:rFonts w:ascii="Noto Sans" w:eastAsia="Times New Roman" w:hAnsi="Noto Sans" w:cs="Noto Sans"/>
        </w:rPr>
        <w:t xml:space="preserve">students </w:t>
      </w:r>
      <w:r w:rsidRPr="007D27A6">
        <w:rPr>
          <w:rFonts w:ascii="Noto Sans" w:eastAsia="Times New Roman" w:hAnsi="Noto Sans" w:cs="Noto Sans"/>
        </w:rPr>
        <w:t>and students of color benefit the most from school facility investments because they are more likely to attend schools with aging buildings and deferred maintenance.</w:t>
      </w:r>
    </w:p>
    <w:p w14:paraId="004A6EFC" w14:textId="77777777" w:rsidR="007D27A6" w:rsidRPr="007D27A6" w:rsidRDefault="007D27A6" w:rsidP="00783988">
      <w:pPr>
        <w:rPr>
          <w:rFonts w:ascii="Noto Sans" w:eastAsia="Times New Roman" w:hAnsi="Noto Sans" w:cs="Noto Sans"/>
        </w:rPr>
      </w:pPr>
    </w:p>
    <w:p w14:paraId="5A5B166E" w14:textId="77777777" w:rsidR="00783988" w:rsidRPr="007D27A6" w:rsidRDefault="00783988" w:rsidP="007D27A6">
      <w:pPr>
        <w:pStyle w:val="ListParagraph"/>
        <w:numPr>
          <w:ilvl w:val="0"/>
          <w:numId w:val="5"/>
        </w:numPr>
        <w:jc w:val="both"/>
        <w:rPr>
          <w:rFonts w:ascii="Noto Sans" w:eastAsia="Times New Roman" w:hAnsi="Noto Sans" w:cs="Noto Sans"/>
        </w:rPr>
      </w:pPr>
      <w:r w:rsidRPr="007D27A6">
        <w:rPr>
          <w:rFonts w:ascii="Noto Sans" w:eastAsia="Times New Roman" w:hAnsi="Noto Sans" w:cs="Noto Sans"/>
          <w:b/>
          <w:bCs/>
          <w:color w:val="11698C"/>
        </w:rPr>
        <w:t>Lower Adult Arrest Rates:</w:t>
      </w:r>
      <w:r w:rsidRPr="007D27A6">
        <w:rPr>
          <w:rFonts w:ascii="Noto Sans" w:eastAsia="Times New Roman" w:hAnsi="Noto Sans" w:cs="Noto Sans"/>
          <w:color w:val="11698C"/>
        </w:rPr>
        <w:t xml:space="preserve"> </w:t>
      </w:r>
      <w:r w:rsidRPr="007D27A6">
        <w:rPr>
          <w:rFonts w:ascii="Noto Sans" w:eastAsia="Times New Roman" w:hAnsi="Noto Sans" w:cs="Noto Sans"/>
        </w:rPr>
        <w:t xml:space="preserve">Students exposed to higher school funding in elementary school, including operating funding increases and capital investments, were significantly less likely to be arrested as adults. In </w:t>
      </w:r>
      <w:r w:rsidRPr="007D27A6">
        <w:rPr>
          <w:rFonts w:ascii="Noto Sans" w:eastAsia="Times New Roman" w:hAnsi="Noto Sans" w:cs="Noto Sans"/>
        </w:rPr>
        <w:lastRenderedPageBreak/>
        <w:t>Michigan, a 10% increase in K–3 operating funds reduced adult arrests by 15%, while capital bond passage reduced adult arrests by 20% and lowered chronic absenteeism in middle school by 25% (Baron et al., 2024).</w:t>
      </w:r>
    </w:p>
    <w:p w14:paraId="7857C578" w14:textId="02429C34" w:rsidR="003A6572" w:rsidRPr="00F33694" w:rsidRDefault="00783988" w:rsidP="00F33694">
      <w:pPr>
        <w:pStyle w:val="ListParagraph"/>
        <w:numPr>
          <w:ilvl w:val="0"/>
          <w:numId w:val="5"/>
        </w:numPr>
        <w:jc w:val="both"/>
        <w:rPr>
          <w:rFonts w:ascii="Noto Sans" w:eastAsia="Times New Roman" w:hAnsi="Noto Sans" w:cs="Noto Sans"/>
        </w:rPr>
      </w:pPr>
      <w:r w:rsidRPr="007D27A6">
        <w:rPr>
          <w:rFonts w:ascii="Noto Sans" w:eastAsia="Times New Roman" w:hAnsi="Noto Sans" w:cs="Noto Sans"/>
          <w:b/>
          <w:bCs/>
          <w:color w:val="11698C"/>
        </w:rPr>
        <w:t>Ventilation Improves Achievement:</w:t>
      </w:r>
      <w:r w:rsidR="00F33694">
        <w:rPr>
          <w:rFonts w:ascii="Noto Sans" w:eastAsia="Times New Roman" w:hAnsi="Noto Sans" w:cs="Noto Sans"/>
        </w:rPr>
        <w:t xml:space="preserve"> </w:t>
      </w:r>
      <w:r w:rsidR="00903F98" w:rsidRPr="00F33694">
        <w:rPr>
          <w:rFonts w:ascii="Noto Sans" w:eastAsia="Times New Roman" w:hAnsi="Noto Sans" w:cs="Noto Sans"/>
        </w:rPr>
        <w:t>Investments in core infrastructure, especially ventilation and air quality improvements, produce the largest gains in student test scores</w:t>
      </w:r>
      <w:r w:rsidR="003A6572" w:rsidRPr="00F33694">
        <w:rPr>
          <w:rFonts w:ascii="Noto Sans" w:eastAsia="Times New Roman" w:hAnsi="Noto Sans" w:cs="Noto Sans"/>
        </w:rPr>
        <w:t>, with especially large benefits for students in low-wealth districts (Biasi et al., 2025).</w:t>
      </w:r>
    </w:p>
    <w:p w14:paraId="6C2ABA83" w14:textId="77777777" w:rsidR="00783988" w:rsidRPr="007D27A6" w:rsidRDefault="00783988" w:rsidP="007D27A6">
      <w:pPr>
        <w:pStyle w:val="ListParagraph"/>
        <w:numPr>
          <w:ilvl w:val="0"/>
          <w:numId w:val="5"/>
        </w:numPr>
        <w:jc w:val="both"/>
        <w:rPr>
          <w:rFonts w:ascii="Noto Sans" w:eastAsia="Times New Roman" w:hAnsi="Noto Sans" w:cs="Noto Sans"/>
        </w:rPr>
      </w:pPr>
      <w:r w:rsidRPr="007D27A6">
        <w:rPr>
          <w:rFonts w:ascii="Noto Sans" w:eastAsia="Times New Roman" w:hAnsi="Noto Sans" w:cs="Noto Sans"/>
          <w:b/>
          <w:bCs/>
          <w:color w:val="11698C"/>
        </w:rPr>
        <w:t>Reduced Overcrowding Improves Test Scores and Attendance:</w:t>
      </w:r>
      <w:r w:rsidRPr="007D27A6">
        <w:rPr>
          <w:rFonts w:ascii="Noto Sans" w:eastAsia="Times New Roman" w:hAnsi="Noto Sans" w:cs="Noto Sans"/>
        </w:rPr>
        <w:t xml:space="preserve"> Between 2002 and 2017, Los Angeles launched a $10 billion school construction campaign that built 114 new campuses, eliminated overcrowding, and improved student outcomes. Test scores increased, particularly among students with lower prior achievement, and student engagement rose, with students attending an average of six additional days of school per year (Lafortune &amp; Schönholzer, 2022).</w:t>
      </w:r>
    </w:p>
    <w:p w14:paraId="3E4214C6" w14:textId="77777777" w:rsidR="00783988" w:rsidRPr="007D27A6" w:rsidRDefault="00783988" w:rsidP="00783988">
      <w:pPr>
        <w:rPr>
          <w:rFonts w:ascii="Noto Sans" w:eastAsia="Times New Roman" w:hAnsi="Noto Sans" w:cs="Noto Sans"/>
        </w:rPr>
      </w:pPr>
    </w:p>
    <w:p w14:paraId="0823BA0A" w14:textId="77777777" w:rsidR="00783988" w:rsidRPr="007D27A6" w:rsidRDefault="00783988" w:rsidP="00783988">
      <w:pPr>
        <w:rPr>
          <w:rFonts w:ascii="Noto Sans" w:eastAsia="Times New Roman" w:hAnsi="Noto Sans" w:cs="Noto Sans"/>
          <w:color w:val="11698C"/>
        </w:rPr>
      </w:pPr>
      <w:r w:rsidRPr="007D27A6">
        <w:rPr>
          <w:rFonts w:ascii="Noto Sans" w:eastAsia="Times New Roman" w:hAnsi="Noto Sans" w:cs="Noto Sans"/>
          <w:b/>
          <w:bCs/>
          <w:color w:val="11698C"/>
        </w:rPr>
        <w:t xml:space="preserve">Recommendations for How to Invest in School Infrastructure </w:t>
      </w:r>
    </w:p>
    <w:p w14:paraId="5DA4B765" w14:textId="77777777" w:rsidR="00783988" w:rsidRDefault="00783988" w:rsidP="007B79C5">
      <w:pPr>
        <w:jc w:val="both"/>
        <w:rPr>
          <w:rFonts w:ascii="Noto Sans" w:eastAsia="Times New Roman" w:hAnsi="Noto Sans" w:cs="Noto Sans"/>
        </w:rPr>
      </w:pPr>
      <w:r w:rsidRPr="007D27A6">
        <w:rPr>
          <w:rFonts w:ascii="Noto Sans" w:eastAsia="Times New Roman" w:hAnsi="Noto Sans" w:cs="Noto Sans"/>
        </w:rPr>
        <w:t xml:space="preserve">To ensure equitable and efficient investment, states should shift from a property-wealth-dependent model toward a centralized, needs-based support system. </w:t>
      </w:r>
    </w:p>
    <w:p w14:paraId="7D9D2B82" w14:textId="77777777" w:rsidR="009E0A91" w:rsidRPr="007D27A6" w:rsidRDefault="009E0A91" w:rsidP="00783988">
      <w:pPr>
        <w:rPr>
          <w:rFonts w:ascii="Noto Sans" w:eastAsia="Times New Roman" w:hAnsi="Noto Sans" w:cs="Noto Sans"/>
        </w:rPr>
      </w:pPr>
    </w:p>
    <w:p w14:paraId="131C8C83" w14:textId="77777777" w:rsidR="00783988" w:rsidRPr="007D27A6" w:rsidRDefault="00783988" w:rsidP="007D27A6">
      <w:pPr>
        <w:pStyle w:val="ListParagraph"/>
        <w:numPr>
          <w:ilvl w:val="0"/>
          <w:numId w:val="3"/>
        </w:numPr>
        <w:jc w:val="both"/>
        <w:rPr>
          <w:rFonts w:ascii="Noto Sans" w:eastAsia="Times New Roman" w:hAnsi="Noto Sans" w:cs="Noto Sans"/>
          <w:color w:val="000000" w:themeColor="text1"/>
        </w:rPr>
      </w:pPr>
      <w:r w:rsidRPr="007D27A6">
        <w:rPr>
          <w:rFonts w:ascii="Noto Sans" w:eastAsia="Times New Roman" w:hAnsi="Noto Sans" w:cs="Noto Sans"/>
          <w:b/>
          <w:bCs/>
          <w:color w:val="11698C"/>
        </w:rPr>
        <w:t>Implement a Sliding Scale for State Aid:</w:t>
      </w:r>
      <w:r w:rsidRPr="007D27A6">
        <w:rPr>
          <w:rFonts w:ascii="Noto Sans" w:eastAsia="Times New Roman" w:hAnsi="Noto Sans" w:cs="Noto Sans"/>
          <w:color w:val="000000" w:themeColor="text1"/>
        </w:rPr>
        <w:t xml:space="preserve"> States should replace "first-come, first-served" allocations with a sliding scale for matching grants, where districts with lower property wealth receive a higher percentage of state support (Lafortune &amp; Gao, 2022).</w:t>
      </w:r>
    </w:p>
    <w:p w14:paraId="494749DE" w14:textId="77777777" w:rsidR="00783988" w:rsidRPr="007D27A6" w:rsidRDefault="00783988" w:rsidP="007D27A6">
      <w:pPr>
        <w:pStyle w:val="ListParagraph"/>
        <w:numPr>
          <w:ilvl w:val="0"/>
          <w:numId w:val="3"/>
        </w:numPr>
        <w:jc w:val="both"/>
        <w:rPr>
          <w:rFonts w:ascii="Noto Sans" w:eastAsia="Times New Roman" w:hAnsi="Noto Sans" w:cs="Noto Sans"/>
          <w:color w:val="000000" w:themeColor="text1"/>
        </w:rPr>
      </w:pPr>
      <w:r w:rsidRPr="007D27A6">
        <w:rPr>
          <w:rFonts w:ascii="Noto Sans" w:eastAsia="Times New Roman" w:hAnsi="Noto Sans" w:cs="Noto Sans"/>
          <w:b/>
          <w:bCs/>
          <w:color w:val="11698C"/>
        </w:rPr>
        <w:t>Establish State Credit Enhancement:</w:t>
      </w:r>
      <w:r w:rsidRPr="007D27A6">
        <w:rPr>
          <w:rFonts w:ascii="Noto Sans" w:eastAsia="Times New Roman" w:hAnsi="Noto Sans" w:cs="Noto Sans"/>
          <w:color w:val="000000" w:themeColor="text1"/>
        </w:rPr>
        <w:t xml:space="preserve"> States should implement credit enhancement mechanisms to lower borrowing costs for school districts with low underlying credit ratings. By providing a pledge to intercept state aid or act as a backup payer in the rare event of a default, states enable high-poverty districts to secure an enhanced credit rating benchmarked to the state’s own high rating. This allows low-income communities to borrow millions more for essential infrastructure at lower interest rates, with virtually no direct expenditure or measurable financial risk to the state budget (Yang, 2022).</w:t>
      </w:r>
    </w:p>
    <w:p w14:paraId="4EE9A00A" w14:textId="77777777" w:rsidR="00783988" w:rsidRPr="007D27A6" w:rsidRDefault="00783988" w:rsidP="007D27A6">
      <w:pPr>
        <w:pStyle w:val="ListParagraph"/>
        <w:numPr>
          <w:ilvl w:val="0"/>
          <w:numId w:val="3"/>
        </w:numPr>
        <w:jc w:val="both"/>
        <w:rPr>
          <w:rFonts w:ascii="Noto Sans" w:eastAsia="Times New Roman" w:hAnsi="Noto Sans" w:cs="Noto Sans"/>
        </w:rPr>
      </w:pPr>
      <w:r w:rsidRPr="007D27A6">
        <w:rPr>
          <w:rFonts w:ascii="Noto Sans" w:eastAsia="Times New Roman" w:hAnsi="Noto Sans" w:cs="Noto Sans"/>
          <w:b/>
          <w:bCs/>
          <w:color w:val="11698C"/>
        </w:rPr>
        <w:t>Standardize Facility Condition Data:</w:t>
      </w:r>
      <w:r w:rsidRPr="007D27A6">
        <w:rPr>
          <w:rFonts w:ascii="Noto Sans" w:eastAsia="Times New Roman" w:hAnsi="Noto Sans" w:cs="Noto Sans"/>
          <w:color w:val="11698C"/>
        </w:rPr>
        <w:t xml:space="preserve"> </w:t>
      </w:r>
      <w:r w:rsidRPr="007D27A6">
        <w:rPr>
          <w:rFonts w:ascii="Noto Sans" w:eastAsia="Times New Roman" w:hAnsi="Noto Sans" w:cs="Noto Sans"/>
        </w:rPr>
        <w:t xml:space="preserve">States should mandate periodic, standardized assessments of all school buildings to create a transparent inventory of facility age and condition, allowing funding to be targeted to facilities with the greatest maintenance needs. </w:t>
      </w:r>
    </w:p>
    <w:p w14:paraId="03386368" w14:textId="77777777" w:rsidR="009E0A91" w:rsidRDefault="009E0A91" w:rsidP="00783988">
      <w:pPr>
        <w:rPr>
          <w:rFonts w:ascii="Noto Sans" w:eastAsia="Times New Roman" w:hAnsi="Noto Sans" w:cs="Noto Sans"/>
          <w:b/>
          <w:bCs/>
          <w:color w:val="11698C"/>
        </w:rPr>
      </w:pPr>
    </w:p>
    <w:p w14:paraId="63952C0C" w14:textId="119B05C0" w:rsidR="00783988" w:rsidRPr="007D27A6" w:rsidRDefault="00783988" w:rsidP="00783988">
      <w:pPr>
        <w:rPr>
          <w:rFonts w:ascii="Noto Sans" w:eastAsia="Times New Roman" w:hAnsi="Noto Sans" w:cs="Noto Sans"/>
          <w:color w:val="11698C"/>
        </w:rPr>
      </w:pPr>
      <w:r w:rsidRPr="007D27A6">
        <w:rPr>
          <w:rFonts w:ascii="Noto Sans" w:eastAsia="Times New Roman" w:hAnsi="Noto Sans" w:cs="Noto Sans"/>
          <w:b/>
          <w:bCs/>
          <w:color w:val="11698C"/>
        </w:rPr>
        <w:t>Conclusion</w:t>
      </w:r>
    </w:p>
    <w:p w14:paraId="6CC7ABC9" w14:textId="77777777" w:rsidR="00783988" w:rsidRPr="007D27A6" w:rsidRDefault="00783988" w:rsidP="007D27A6">
      <w:pPr>
        <w:jc w:val="both"/>
        <w:rPr>
          <w:rFonts w:ascii="Noto Sans" w:eastAsia="Times New Roman" w:hAnsi="Noto Sans" w:cs="Noto Sans"/>
        </w:rPr>
      </w:pPr>
      <w:r w:rsidRPr="007D27A6">
        <w:rPr>
          <w:rFonts w:ascii="Noto Sans" w:eastAsia="Times New Roman" w:hAnsi="Noto Sans" w:cs="Noto Sans"/>
        </w:rPr>
        <w:t xml:space="preserve">The current reliance on local bond markets creates a regressive system where the students who would benefit most from improved facilities are the least likely to </w:t>
      </w:r>
      <w:r w:rsidRPr="007D27A6">
        <w:rPr>
          <w:rFonts w:ascii="Noto Sans" w:eastAsia="Times New Roman" w:hAnsi="Noto Sans" w:cs="Noto Sans"/>
        </w:rPr>
        <w:lastRenderedPageBreak/>
        <w:t>receive them. By transitioning to equitable state matching programs and prioritizing essential infrastructure, states can better align school construction investments with improved academic outcomes and long-term social welfare.</w:t>
      </w:r>
    </w:p>
    <w:p w14:paraId="43163FA5" w14:textId="77777777" w:rsidR="00783988" w:rsidRPr="007D27A6" w:rsidRDefault="00783988" w:rsidP="00783988">
      <w:pPr>
        <w:rPr>
          <w:rFonts w:ascii="Noto Sans" w:eastAsia="Times New Roman" w:hAnsi="Noto Sans" w:cs="Noto Sans"/>
          <w:b/>
          <w:bCs/>
          <w:color w:val="000000" w:themeColor="text1"/>
        </w:rPr>
      </w:pPr>
    </w:p>
    <w:p w14:paraId="26FC588D" w14:textId="77777777" w:rsidR="00783988" w:rsidRPr="007D27A6" w:rsidRDefault="00783988" w:rsidP="007D27A6">
      <w:pPr>
        <w:rPr>
          <w:rFonts w:ascii="Noto Sans" w:eastAsia="Times New Roman" w:hAnsi="Noto Sans" w:cs="Noto Sans"/>
          <w:b/>
          <w:bCs/>
          <w:color w:val="11698C"/>
        </w:rPr>
      </w:pPr>
      <w:r w:rsidRPr="007D27A6">
        <w:rPr>
          <w:rFonts w:ascii="Noto Sans" w:eastAsia="Times New Roman" w:hAnsi="Noto Sans" w:cs="Noto Sans"/>
          <w:b/>
          <w:bCs/>
          <w:color w:val="11698C"/>
        </w:rPr>
        <w:t>References</w:t>
      </w:r>
    </w:p>
    <w:p w14:paraId="70682AB8" w14:textId="60170307" w:rsidR="00E51A3B" w:rsidRPr="003A2DC5" w:rsidRDefault="00783988" w:rsidP="00783988">
      <w:pPr>
        <w:rPr>
          <w:rFonts w:ascii="Noto Sans" w:eastAsia="Times New Roman" w:hAnsi="Noto Sans" w:cs="Noto Sans"/>
        </w:rPr>
      </w:pPr>
      <w:r w:rsidRPr="007D27A6">
        <w:rPr>
          <w:rFonts w:ascii="Noto Sans" w:eastAsia="Times New Roman" w:hAnsi="Noto Sans" w:cs="Noto Sans"/>
        </w:rPr>
        <w:t>Baron, E. J., Hyman, J., &amp; Vasquez, B. (202</w:t>
      </w:r>
      <w:r w:rsidR="003A2DC5">
        <w:rPr>
          <w:rFonts w:ascii="Noto Sans" w:eastAsia="Times New Roman" w:hAnsi="Noto Sans" w:cs="Noto Sans"/>
        </w:rPr>
        <w:t>6</w:t>
      </w:r>
      <w:r w:rsidRPr="007D27A6">
        <w:rPr>
          <w:rFonts w:ascii="Noto Sans" w:eastAsia="Times New Roman" w:hAnsi="Noto Sans" w:cs="Noto Sans"/>
        </w:rPr>
        <w:t xml:space="preserve">). </w:t>
      </w:r>
      <w:r w:rsidRPr="003A2DC5">
        <w:rPr>
          <w:rFonts w:ascii="Noto Sans" w:eastAsia="Times New Roman" w:hAnsi="Noto Sans" w:cs="Noto Sans"/>
        </w:rPr>
        <w:t>Public school funding, school</w:t>
      </w:r>
    </w:p>
    <w:p w14:paraId="30ECC889" w14:textId="5A474DD8" w:rsidR="003A2DC5" w:rsidRDefault="00783988" w:rsidP="003A2DC5">
      <w:pPr>
        <w:ind w:firstLine="720"/>
        <w:rPr>
          <w:rFonts w:ascii="Noto Sans" w:eastAsia="Times New Roman" w:hAnsi="Noto Sans" w:cs="Noto Sans"/>
          <w:i/>
          <w:iCs/>
        </w:rPr>
      </w:pPr>
      <w:r w:rsidRPr="003A2DC5">
        <w:rPr>
          <w:rFonts w:ascii="Noto Sans" w:eastAsia="Times New Roman" w:hAnsi="Noto Sans" w:cs="Noto Sans"/>
        </w:rPr>
        <w:t>quality,</w:t>
      </w:r>
      <w:r w:rsidR="00E51A3B" w:rsidRPr="003A2DC5">
        <w:rPr>
          <w:rFonts w:ascii="Noto Sans" w:eastAsia="Times New Roman" w:hAnsi="Noto Sans" w:cs="Noto Sans"/>
        </w:rPr>
        <w:t xml:space="preserve"> </w:t>
      </w:r>
      <w:r w:rsidRPr="003A2DC5">
        <w:rPr>
          <w:rFonts w:ascii="Noto Sans" w:eastAsia="Times New Roman" w:hAnsi="Noto Sans" w:cs="Noto Sans"/>
        </w:rPr>
        <w:t>and adult crime</w:t>
      </w:r>
      <w:r w:rsidRPr="007D27A6">
        <w:rPr>
          <w:rFonts w:ascii="Noto Sans" w:eastAsia="Times New Roman" w:hAnsi="Noto Sans" w:cs="Noto Sans"/>
        </w:rPr>
        <w:t>.</w:t>
      </w:r>
      <w:r w:rsidR="003A2DC5">
        <w:rPr>
          <w:rFonts w:ascii="Noto Sans" w:eastAsia="Times New Roman" w:hAnsi="Noto Sans" w:cs="Noto Sans"/>
          <w:i/>
          <w:iCs/>
        </w:rPr>
        <w:t xml:space="preserve"> Review of Economics and Statistics 108</w:t>
      </w:r>
      <w:r w:rsidR="003A2DC5" w:rsidRPr="003A2DC5">
        <w:rPr>
          <w:rFonts w:ascii="Noto Sans" w:eastAsia="Times New Roman" w:hAnsi="Noto Sans" w:cs="Noto Sans"/>
        </w:rPr>
        <w:t>(3), 663–680.</w:t>
      </w:r>
    </w:p>
    <w:p w14:paraId="13E91800" w14:textId="532AEDAC" w:rsidR="00E51A3B" w:rsidRDefault="003A2DC5" w:rsidP="003A2DC5">
      <w:pPr>
        <w:ind w:firstLine="720"/>
        <w:rPr>
          <w:rFonts w:ascii="Noto Sans" w:eastAsia="Times New Roman" w:hAnsi="Noto Sans" w:cs="Noto Sans"/>
          <w:i/>
          <w:iCs/>
        </w:rPr>
      </w:pPr>
      <w:r w:rsidRPr="003A2DC5">
        <w:rPr>
          <w:rFonts w:ascii="Noto Sans" w:eastAsia="Times New Roman" w:hAnsi="Noto Sans" w:cs="Noto Sans"/>
          <w:color w:val="0563C1"/>
        </w:rPr>
        <w:t>https://doi.org/10.1162/rest_a_01452</w:t>
      </w:r>
    </w:p>
    <w:p w14:paraId="32AAE727" w14:textId="77777777" w:rsidR="007D27A6" w:rsidRDefault="00783988" w:rsidP="00783988">
      <w:pPr>
        <w:rPr>
          <w:rFonts w:ascii="Noto Sans" w:eastAsia="Times New Roman" w:hAnsi="Noto Sans" w:cs="Noto Sans"/>
        </w:rPr>
      </w:pPr>
      <w:r w:rsidRPr="007D27A6">
        <w:rPr>
          <w:rFonts w:ascii="Noto Sans" w:eastAsia="Times New Roman" w:hAnsi="Noto Sans" w:cs="Noto Sans"/>
        </w:rPr>
        <w:t>Biasi, B., Lafortune, J., &amp; Schönholzer, D. (2025). What works and for whom?</w:t>
      </w:r>
    </w:p>
    <w:p w14:paraId="19B1D7F5" w14:textId="784EF34F" w:rsidR="007D27A6" w:rsidRDefault="00783988" w:rsidP="007D27A6">
      <w:pPr>
        <w:ind w:firstLine="720"/>
        <w:rPr>
          <w:rFonts w:ascii="Noto Sans" w:eastAsia="Times New Roman" w:hAnsi="Noto Sans" w:cs="Noto Sans"/>
          <w:i/>
          <w:iCs/>
        </w:rPr>
      </w:pPr>
      <w:r w:rsidRPr="007D27A6">
        <w:rPr>
          <w:rFonts w:ascii="Noto Sans" w:eastAsia="Times New Roman" w:hAnsi="Noto Sans" w:cs="Noto Sans"/>
        </w:rPr>
        <w:t>Effectiveness and efficiency of school capital investments across the U</w:t>
      </w:r>
      <w:r w:rsidR="00E51A3B">
        <w:rPr>
          <w:rFonts w:ascii="Noto Sans" w:eastAsia="Times New Roman" w:hAnsi="Noto Sans" w:cs="Noto Sans"/>
        </w:rPr>
        <w:t>.</w:t>
      </w:r>
      <w:r w:rsidRPr="007D27A6">
        <w:rPr>
          <w:rFonts w:ascii="Noto Sans" w:eastAsia="Times New Roman" w:hAnsi="Noto Sans" w:cs="Noto Sans"/>
        </w:rPr>
        <w:t xml:space="preserve">S. </w:t>
      </w:r>
      <w:r w:rsidRPr="007D27A6">
        <w:rPr>
          <w:rFonts w:ascii="Noto Sans" w:eastAsia="Times New Roman" w:hAnsi="Noto Sans" w:cs="Noto Sans"/>
          <w:i/>
          <w:iCs/>
        </w:rPr>
        <w:t>The</w:t>
      </w:r>
    </w:p>
    <w:p w14:paraId="566FBB8A" w14:textId="300970E8" w:rsidR="00783988" w:rsidRPr="007D27A6" w:rsidRDefault="00783988" w:rsidP="00806BF5">
      <w:pPr>
        <w:ind w:firstLine="720"/>
        <w:rPr>
          <w:rFonts w:ascii="Noto Sans" w:eastAsia="Times New Roman" w:hAnsi="Noto Sans" w:cs="Noto Sans"/>
        </w:rPr>
      </w:pPr>
      <w:r w:rsidRPr="007D27A6">
        <w:rPr>
          <w:rFonts w:ascii="Noto Sans" w:eastAsia="Times New Roman" w:hAnsi="Noto Sans" w:cs="Noto Sans"/>
          <w:i/>
          <w:iCs/>
        </w:rPr>
        <w:t>Quarterly Journal of Economics</w:t>
      </w:r>
      <w:r w:rsidRPr="007D27A6">
        <w:rPr>
          <w:rFonts w:ascii="Noto Sans" w:eastAsia="Times New Roman" w:hAnsi="Noto Sans" w:cs="Noto Sans"/>
        </w:rPr>
        <w:t xml:space="preserve">, </w:t>
      </w:r>
      <w:r w:rsidRPr="007D27A6">
        <w:rPr>
          <w:rFonts w:ascii="Noto Sans" w:eastAsia="Times New Roman" w:hAnsi="Noto Sans" w:cs="Noto Sans"/>
          <w:i/>
          <w:iCs/>
        </w:rPr>
        <w:t>140</w:t>
      </w:r>
      <w:r w:rsidRPr="007D27A6">
        <w:rPr>
          <w:rFonts w:ascii="Noto Sans" w:eastAsia="Times New Roman" w:hAnsi="Noto Sans" w:cs="Noto Sans"/>
        </w:rPr>
        <w:t>(3), 2329</w:t>
      </w:r>
      <w:r w:rsidR="00E51A3B">
        <w:rPr>
          <w:rFonts w:ascii="Noto Sans" w:eastAsia="Times New Roman" w:hAnsi="Noto Sans" w:cs="Noto Sans"/>
        </w:rPr>
        <w:t>–</w:t>
      </w:r>
      <w:r w:rsidRPr="007D27A6">
        <w:rPr>
          <w:rFonts w:ascii="Noto Sans" w:eastAsia="Times New Roman" w:hAnsi="Noto Sans" w:cs="Noto Sans"/>
        </w:rPr>
        <w:t>2379.</w:t>
      </w:r>
    </w:p>
    <w:p w14:paraId="4841C948" w14:textId="77777777" w:rsidR="007D27A6" w:rsidRDefault="00783988" w:rsidP="00783988">
      <w:pPr>
        <w:rPr>
          <w:rFonts w:ascii="Noto Sans" w:eastAsia="Times New Roman" w:hAnsi="Noto Sans" w:cs="Noto Sans"/>
          <w:color w:val="000000" w:themeColor="text1"/>
        </w:rPr>
      </w:pPr>
      <w:r w:rsidRPr="007D27A6">
        <w:rPr>
          <w:rFonts w:ascii="Noto Sans" w:eastAsia="Times New Roman" w:hAnsi="Noto Sans" w:cs="Noto Sans"/>
          <w:color w:val="000000" w:themeColor="text1"/>
        </w:rPr>
        <w:t>Brunner, E. J., Schwegman, D., &amp; Vincent, J. M. (2023). How much does public school</w:t>
      </w:r>
    </w:p>
    <w:p w14:paraId="5361ED7E" w14:textId="77777777" w:rsidR="007D27A6" w:rsidRDefault="00783988" w:rsidP="007D27A6">
      <w:pPr>
        <w:ind w:firstLine="720"/>
        <w:rPr>
          <w:rFonts w:ascii="Noto Sans" w:eastAsia="Times New Roman" w:hAnsi="Noto Sans" w:cs="Noto Sans"/>
          <w:i/>
          <w:iCs/>
          <w:color w:val="000000" w:themeColor="text1"/>
        </w:rPr>
      </w:pPr>
      <w:r w:rsidRPr="007D27A6">
        <w:rPr>
          <w:rFonts w:ascii="Noto Sans" w:eastAsia="Times New Roman" w:hAnsi="Noto Sans" w:cs="Noto Sans"/>
          <w:color w:val="000000" w:themeColor="text1"/>
        </w:rPr>
        <w:t xml:space="preserve">facility funding </w:t>
      </w:r>
      <w:proofErr w:type="gramStart"/>
      <w:r w:rsidRPr="007D27A6">
        <w:rPr>
          <w:rFonts w:ascii="Noto Sans" w:eastAsia="Times New Roman" w:hAnsi="Noto Sans" w:cs="Noto Sans"/>
          <w:color w:val="000000" w:themeColor="text1"/>
        </w:rPr>
        <w:t>depend</w:t>
      </w:r>
      <w:proofErr w:type="gramEnd"/>
      <w:r w:rsidRPr="007D27A6">
        <w:rPr>
          <w:rFonts w:ascii="Noto Sans" w:eastAsia="Times New Roman" w:hAnsi="Noto Sans" w:cs="Noto Sans"/>
          <w:color w:val="000000" w:themeColor="text1"/>
        </w:rPr>
        <w:t xml:space="preserve"> on property wealth? </w:t>
      </w:r>
      <w:r w:rsidRPr="007D27A6">
        <w:rPr>
          <w:rFonts w:ascii="Noto Sans" w:eastAsia="Times New Roman" w:hAnsi="Noto Sans" w:cs="Noto Sans"/>
          <w:i/>
          <w:iCs/>
          <w:color w:val="000000" w:themeColor="text1"/>
        </w:rPr>
        <w:t>Education Finance and Policy,</w:t>
      </w:r>
    </w:p>
    <w:p w14:paraId="5280459E" w14:textId="3520F1AA" w:rsidR="00783988" w:rsidRPr="00806BF5" w:rsidRDefault="00783988" w:rsidP="00806BF5">
      <w:pPr>
        <w:ind w:firstLine="720"/>
        <w:rPr>
          <w:rFonts w:ascii="Noto Sans" w:eastAsia="Times New Roman" w:hAnsi="Noto Sans" w:cs="Noto Sans"/>
          <w:color w:val="000000" w:themeColor="text1"/>
        </w:rPr>
      </w:pPr>
      <w:r w:rsidRPr="007D27A6">
        <w:rPr>
          <w:rFonts w:ascii="Noto Sans" w:eastAsia="Times New Roman" w:hAnsi="Noto Sans" w:cs="Noto Sans"/>
          <w:i/>
          <w:iCs/>
          <w:color w:val="000000" w:themeColor="text1"/>
        </w:rPr>
        <w:t>18(</w:t>
      </w:r>
      <w:r w:rsidRPr="007D27A6">
        <w:rPr>
          <w:rFonts w:ascii="Noto Sans" w:eastAsia="Times New Roman" w:hAnsi="Noto Sans" w:cs="Noto Sans"/>
          <w:color w:val="000000" w:themeColor="text1"/>
        </w:rPr>
        <w:t>1), 25</w:t>
      </w:r>
      <w:r w:rsidR="00E51A3B">
        <w:rPr>
          <w:rFonts w:ascii="Noto Sans" w:eastAsia="Times New Roman" w:hAnsi="Noto Sans" w:cs="Noto Sans"/>
          <w:color w:val="000000" w:themeColor="text1"/>
        </w:rPr>
        <w:t>–</w:t>
      </w:r>
      <w:r w:rsidRPr="007D27A6">
        <w:rPr>
          <w:rFonts w:ascii="Noto Sans" w:eastAsia="Times New Roman" w:hAnsi="Noto Sans" w:cs="Noto Sans"/>
          <w:color w:val="000000" w:themeColor="text1"/>
        </w:rPr>
        <w:t>51.</w:t>
      </w:r>
    </w:p>
    <w:p w14:paraId="0956E197" w14:textId="77777777" w:rsidR="00FA0F8B" w:rsidRPr="00FA0F8B" w:rsidRDefault="00FA0F8B" w:rsidP="00FA0F8B">
      <w:pPr>
        <w:rPr>
          <w:rFonts w:ascii="Noto Sans" w:eastAsia="Times New Roman" w:hAnsi="Noto Sans" w:cs="Noto Sans"/>
          <w:i/>
          <w:iCs/>
          <w:color w:val="000000" w:themeColor="text1"/>
        </w:rPr>
      </w:pPr>
      <w:r>
        <w:rPr>
          <w:rFonts w:ascii="Noto Sans" w:eastAsia="Times New Roman" w:hAnsi="Noto Sans" w:cs="Noto Sans"/>
          <w:color w:val="000000" w:themeColor="text1"/>
        </w:rPr>
        <w:t xml:space="preserve">Fischer, A., Duncombe, C., &amp; Syverson, E. (2023, June 6). </w:t>
      </w:r>
      <w:r w:rsidRPr="00FA0F8B">
        <w:rPr>
          <w:rFonts w:ascii="Noto Sans" w:eastAsia="Times New Roman" w:hAnsi="Noto Sans" w:cs="Noto Sans"/>
          <w:i/>
          <w:iCs/>
          <w:color w:val="000000" w:themeColor="text1"/>
        </w:rPr>
        <w:t>50-state comparison: K–12</w:t>
      </w:r>
    </w:p>
    <w:p w14:paraId="57DB5008" w14:textId="117FA18B" w:rsidR="00783988" w:rsidRPr="00806BF5" w:rsidRDefault="00FA0F8B" w:rsidP="00FA0F8B">
      <w:pPr>
        <w:ind w:left="720"/>
        <w:rPr>
          <w:rFonts w:ascii="Noto Sans" w:eastAsia="Times New Roman" w:hAnsi="Noto Sans" w:cs="Noto Sans"/>
          <w:color w:val="000000" w:themeColor="text1"/>
        </w:rPr>
      </w:pPr>
      <w:r w:rsidRPr="00FA0F8B">
        <w:rPr>
          <w:rFonts w:ascii="Noto Sans" w:eastAsia="Times New Roman" w:hAnsi="Noto Sans" w:cs="Noto Sans"/>
          <w:i/>
          <w:iCs/>
          <w:color w:val="000000" w:themeColor="text1"/>
        </w:rPr>
        <w:t>school construction funding</w:t>
      </w:r>
      <w:r>
        <w:rPr>
          <w:rFonts w:ascii="Noto Sans" w:eastAsia="Times New Roman" w:hAnsi="Noto Sans" w:cs="Noto Sans"/>
          <w:color w:val="000000" w:themeColor="text1"/>
        </w:rPr>
        <w:t xml:space="preserve">. Education Commission of the States.   </w:t>
      </w:r>
      <w:r>
        <w:rPr>
          <w:rFonts w:ascii="Noto Sans" w:eastAsia="Times New Roman" w:hAnsi="Noto Sans" w:cs="Noto Sans"/>
          <w:color w:val="0563C1"/>
        </w:rPr>
        <w:fldChar w:fldCharType="begin"/>
      </w:r>
      <w:r>
        <w:rPr>
          <w:rFonts w:ascii="Noto Sans" w:eastAsia="Times New Roman" w:hAnsi="Noto Sans" w:cs="Noto Sans"/>
          <w:color w:val="0563C1"/>
        </w:rPr>
        <w:instrText>HYPERLINK "</w:instrText>
      </w:r>
      <w:r w:rsidRPr="00FA0F8B">
        <w:rPr>
          <w:rFonts w:ascii="Noto Sans" w:eastAsia="Times New Roman" w:hAnsi="Noto Sans" w:cs="Noto Sans"/>
          <w:color w:val="0563C1"/>
        </w:rPr>
        <w:instrText>https://www.ecs.org/50-state-comparison-k-12-school-construction-funding-2023/</w:instrText>
      </w:r>
      <w:r>
        <w:rPr>
          <w:rFonts w:ascii="Noto Sans" w:eastAsia="Times New Roman" w:hAnsi="Noto Sans" w:cs="Noto Sans"/>
          <w:color w:val="0563C1"/>
        </w:rPr>
        <w:instrText>"</w:instrText>
      </w:r>
      <w:r>
        <w:rPr>
          <w:rFonts w:ascii="Noto Sans" w:eastAsia="Times New Roman" w:hAnsi="Noto Sans" w:cs="Noto Sans"/>
          <w:color w:val="0563C1"/>
        </w:rPr>
        <w:fldChar w:fldCharType="separate"/>
      </w:r>
      <w:r w:rsidRPr="00C47C1C">
        <w:rPr>
          <w:rStyle w:val="Hyperlink"/>
          <w:rFonts w:ascii="Noto Sans" w:eastAsia="Times New Roman" w:hAnsi="Noto Sans" w:cs="Noto Sans"/>
        </w:rPr>
        <w:t>https://www.ecs.org/50-state-comparison-k-12-school-construction-funding-2023/</w:t>
      </w:r>
      <w:r>
        <w:rPr>
          <w:rFonts w:ascii="Noto Sans" w:eastAsia="Times New Roman" w:hAnsi="Noto Sans" w:cs="Noto Sans"/>
          <w:color w:val="0563C1"/>
        </w:rPr>
        <w:fldChar w:fldCharType="end"/>
      </w:r>
      <w:r w:rsidR="00783988" w:rsidRPr="00FA0F8B">
        <w:rPr>
          <w:rFonts w:ascii="Noto Sans" w:eastAsia="Times New Roman" w:hAnsi="Noto Sans" w:cs="Noto Sans"/>
          <w:color w:val="0563C1"/>
        </w:rPr>
        <w:t xml:space="preserve"> </w:t>
      </w:r>
    </w:p>
    <w:p w14:paraId="20B4D46E" w14:textId="77777777" w:rsidR="003003A9" w:rsidRPr="00FA0F8B" w:rsidRDefault="00303003" w:rsidP="00303003">
      <w:pPr>
        <w:rPr>
          <w:rFonts w:ascii="Noto Sans" w:eastAsia="Times New Roman" w:hAnsi="Noto Sans" w:cs="Noto Sans"/>
          <w:i/>
          <w:iCs/>
          <w:color w:val="000000" w:themeColor="text1"/>
        </w:rPr>
      </w:pPr>
      <w:r w:rsidRPr="00303003">
        <w:rPr>
          <w:rFonts w:ascii="Noto Sans" w:eastAsia="Times New Roman" w:hAnsi="Noto Sans" w:cs="Noto Sans"/>
          <w:color w:val="000000" w:themeColor="text1"/>
        </w:rPr>
        <w:t xml:space="preserve">Filardo, M. (2025). </w:t>
      </w:r>
      <w:r w:rsidRPr="00FA0F8B">
        <w:rPr>
          <w:rFonts w:ascii="Noto Sans" w:eastAsia="Times New Roman" w:hAnsi="Noto Sans" w:cs="Noto Sans"/>
          <w:i/>
          <w:iCs/>
          <w:color w:val="000000" w:themeColor="text1"/>
        </w:rPr>
        <w:t>State of our schools: America’s PK–12 public school facilities</w:t>
      </w:r>
    </w:p>
    <w:p w14:paraId="620C836C" w14:textId="290429C0" w:rsidR="00303003" w:rsidRPr="003003A9" w:rsidRDefault="003003A9" w:rsidP="00707064">
      <w:pPr>
        <w:ind w:left="720"/>
        <w:rPr>
          <w:rFonts w:ascii="Noto Sans" w:eastAsia="Times New Roman" w:hAnsi="Noto Sans" w:cs="Noto Sans"/>
          <w:i/>
          <w:iCs/>
          <w:color w:val="000000" w:themeColor="text1"/>
        </w:rPr>
      </w:pPr>
      <w:r w:rsidRPr="00FA0F8B">
        <w:rPr>
          <w:rFonts w:ascii="Noto Sans" w:eastAsia="Times New Roman" w:hAnsi="Noto Sans" w:cs="Noto Sans"/>
          <w:i/>
          <w:iCs/>
          <w:color w:val="000000" w:themeColor="text1"/>
        </w:rPr>
        <w:t>2025</w:t>
      </w:r>
      <w:r w:rsidR="00303003">
        <w:rPr>
          <w:rFonts w:ascii="Noto Sans" w:eastAsia="Times New Roman" w:hAnsi="Noto Sans" w:cs="Noto Sans"/>
          <w:color w:val="000000" w:themeColor="text1"/>
        </w:rPr>
        <w:t xml:space="preserve">. </w:t>
      </w:r>
      <w:r w:rsidR="00303003" w:rsidRPr="00FA0F8B">
        <w:rPr>
          <w:rFonts w:ascii="Noto Sans" w:eastAsia="Times New Roman" w:hAnsi="Noto Sans" w:cs="Noto Sans"/>
          <w:color w:val="000000" w:themeColor="text1"/>
        </w:rPr>
        <w:t>21</w:t>
      </w:r>
      <w:r w:rsidR="00303003" w:rsidRPr="00FA0F8B">
        <w:rPr>
          <w:rFonts w:ascii="Noto Sans" w:eastAsia="Times New Roman" w:hAnsi="Noto Sans" w:cs="Noto Sans"/>
          <w:color w:val="000000" w:themeColor="text1"/>
          <w:vertAlign w:val="superscript"/>
        </w:rPr>
        <w:t>st</w:t>
      </w:r>
      <w:r w:rsidRPr="00FA0F8B">
        <w:rPr>
          <w:rFonts w:ascii="Noto Sans" w:eastAsia="Times New Roman" w:hAnsi="Noto Sans" w:cs="Noto Sans"/>
          <w:color w:val="000000" w:themeColor="text1"/>
        </w:rPr>
        <w:t xml:space="preserve"> </w:t>
      </w:r>
      <w:r w:rsidR="00303003" w:rsidRPr="00FA0F8B">
        <w:rPr>
          <w:rFonts w:ascii="Noto Sans" w:eastAsia="Times New Roman" w:hAnsi="Noto Sans" w:cs="Noto Sans"/>
          <w:color w:val="000000" w:themeColor="text1"/>
        </w:rPr>
        <w:t>Century School Fund.</w:t>
      </w:r>
      <w:r w:rsidR="00303003">
        <w:rPr>
          <w:rFonts w:ascii="Noto Sans" w:eastAsia="Times New Roman" w:hAnsi="Noto Sans" w:cs="Noto Sans"/>
          <w:color w:val="000000" w:themeColor="text1"/>
        </w:rPr>
        <w:t xml:space="preserve"> </w:t>
      </w:r>
      <w:hyperlink r:id="rId7" w:history="1">
        <w:r>
          <w:rPr>
            <w:rStyle w:val="Hyperlink"/>
            <w:rFonts w:ascii="Noto Sans" w:eastAsia="Times New Roman" w:hAnsi="Noto Sans" w:cs="Noto Sans"/>
          </w:rPr>
          <w:t>https://www.21csf.org/uploads/pub/2025 State of Schools 020226_2.pdf</w:t>
        </w:r>
      </w:hyperlink>
    </w:p>
    <w:p w14:paraId="7A59DC9C" w14:textId="5F808F76" w:rsidR="007D27A6" w:rsidRPr="00FA0F8B" w:rsidRDefault="00783988" w:rsidP="00783988">
      <w:pPr>
        <w:rPr>
          <w:rFonts w:ascii="Noto Sans" w:eastAsia="Times New Roman" w:hAnsi="Noto Sans" w:cs="Noto Sans"/>
          <w:i/>
          <w:iCs/>
          <w:color w:val="000000" w:themeColor="text1"/>
        </w:rPr>
      </w:pPr>
      <w:r w:rsidRPr="007D27A6">
        <w:rPr>
          <w:rFonts w:ascii="Noto Sans" w:eastAsia="Times New Roman" w:hAnsi="Noto Sans" w:cs="Noto Sans"/>
          <w:color w:val="000000" w:themeColor="text1"/>
        </w:rPr>
        <w:t xml:space="preserve">Lafortune, J., &amp; Gao, N. (2022, March). </w:t>
      </w:r>
      <w:r w:rsidRPr="00FA0F8B">
        <w:rPr>
          <w:rFonts w:ascii="Noto Sans" w:eastAsia="Times New Roman" w:hAnsi="Noto Sans" w:cs="Noto Sans"/>
          <w:i/>
          <w:iCs/>
          <w:color w:val="000000" w:themeColor="text1"/>
        </w:rPr>
        <w:t>Equitable state funding for school facilities:</w:t>
      </w:r>
    </w:p>
    <w:p w14:paraId="12057EC6" w14:textId="77777777" w:rsidR="007D27A6" w:rsidRPr="00FA0F8B" w:rsidRDefault="00783988" w:rsidP="007D27A6">
      <w:pPr>
        <w:ind w:firstLine="720"/>
        <w:rPr>
          <w:rFonts w:ascii="Noto Sans" w:eastAsia="Times New Roman" w:hAnsi="Noto Sans" w:cs="Noto Sans"/>
          <w:color w:val="000000" w:themeColor="text1"/>
        </w:rPr>
      </w:pPr>
      <w:r w:rsidRPr="00FA0F8B">
        <w:rPr>
          <w:rFonts w:ascii="Noto Sans" w:eastAsia="Times New Roman" w:hAnsi="Noto Sans" w:cs="Noto Sans"/>
          <w:i/>
          <w:iCs/>
          <w:color w:val="000000" w:themeColor="text1"/>
        </w:rPr>
        <w:t>Assessing California’s School Facility Program</w:t>
      </w:r>
      <w:r w:rsidRPr="007D27A6">
        <w:rPr>
          <w:rFonts w:ascii="Noto Sans" w:eastAsia="Times New Roman" w:hAnsi="Noto Sans" w:cs="Noto Sans"/>
          <w:color w:val="000000" w:themeColor="text1"/>
        </w:rPr>
        <w:t xml:space="preserve">. </w:t>
      </w:r>
      <w:r w:rsidRPr="00FA0F8B">
        <w:rPr>
          <w:rFonts w:ascii="Noto Sans" w:eastAsia="Times New Roman" w:hAnsi="Noto Sans" w:cs="Noto Sans"/>
          <w:color w:val="000000" w:themeColor="text1"/>
        </w:rPr>
        <w:t>Public Policy Institute of</w:t>
      </w:r>
    </w:p>
    <w:p w14:paraId="33337FF8" w14:textId="0F329832" w:rsidR="007D27A6" w:rsidRPr="00806BF5" w:rsidRDefault="00783988" w:rsidP="00806BF5">
      <w:pPr>
        <w:ind w:left="720"/>
        <w:rPr>
          <w:rFonts w:ascii="Noto Sans" w:eastAsia="Times New Roman" w:hAnsi="Noto Sans" w:cs="Noto Sans"/>
          <w:color w:val="000000" w:themeColor="text1"/>
        </w:rPr>
      </w:pPr>
      <w:r w:rsidRPr="00FA0F8B">
        <w:rPr>
          <w:rFonts w:ascii="Noto Sans" w:eastAsia="Times New Roman" w:hAnsi="Noto Sans" w:cs="Noto Sans"/>
          <w:color w:val="000000" w:themeColor="text1"/>
        </w:rPr>
        <w:t>California.</w:t>
      </w:r>
      <w:r w:rsidRPr="007D27A6">
        <w:rPr>
          <w:rFonts w:ascii="Noto Sans" w:eastAsia="Times New Roman" w:hAnsi="Noto Sans" w:cs="Noto Sans"/>
          <w:color w:val="000000" w:themeColor="text1"/>
        </w:rPr>
        <w:t xml:space="preserve"> </w:t>
      </w:r>
      <w:hyperlink r:id="rId8" w:history="1">
        <w:r w:rsidR="00303003" w:rsidRPr="003866F7">
          <w:rPr>
            <w:rStyle w:val="Hyperlink"/>
            <w:rFonts w:ascii="Noto Sans" w:eastAsia="Times New Roman" w:hAnsi="Noto Sans" w:cs="Noto Sans"/>
          </w:rPr>
          <w:t>https://www.ppic.org/publication/equitable-state-funding-for-school-facilities/</w:t>
        </w:r>
      </w:hyperlink>
      <w:r w:rsidRPr="007D27A6">
        <w:rPr>
          <w:rFonts w:ascii="Noto Sans" w:eastAsia="Times New Roman" w:hAnsi="Noto Sans" w:cs="Noto Sans"/>
          <w:color w:val="000000" w:themeColor="text1"/>
        </w:rPr>
        <w:t xml:space="preserve"> </w:t>
      </w:r>
      <w:hyperlink r:id="rId9" w:history="1">
        <w:r w:rsidR="00CB4C4F" w:rsidRPr="003866F7">
          <w:rPr>
            <w:rStyle w:val="Hyperlink"/>
            <w:rFonts w:ascii="Noto Sans" w:hAnsi="Noto Sans" w:cs="Noto Sans"/>
          </w:rPr>
          <w:t>https://www.brookings.edu/articles/state-credit-enhancement-programs-promote-capital-investment-in-low-income-districts/</w:t>
        </w:r>
      </w:hyperlink>
    </w:p>
    <w:p w14:paraId="74BB0F43" w14:textId="77777777" w:rsidR="007D27A6" w:rsidRDefault="00783988" w:rsidP="00783988">
      <w:pPr>
        <w:rPr>
          <w:rFonts w:ascii="Noto Sans" w:eastAsia="Times New Roman" w:hAnsi="Noto Sans" w:cs="Noto Sans"/>
        </w:rPr>
      </w:pPr>
      <w:r w:rsidRPr="007D27A6">
        <w:rPr>
          <w:rFonts w:ascii="Noto Sans" w:eastAsia="Times New Roman" w:hAnsi="Noto Sans" w:cs="Noto Sans"/>
        </w:rPr>
        <w:t>Lafortune, J., &amp; Schönholzer, D. (2022). The impact of school facility investments on</w:t>
      </w:r>
    </w:p>
    <w:p w14:paraId="055521FB" w14:textId="6BC9709D" w:rsidR="001C78D5" w:rsidRPr="00CB4C4F" w:rsidRDefault="00783988" w:rsidP="00004561">
      <w:pPr>
        <w:ind w:left="720"/>
        <w:rPr>
          <w:rFonts w:ascii="Noto Sans" w:eastAsia="Times New Roman" w:hAnsi="Noto Sans" w:cs="Noto Sans"/>
        </w:rPr>
      </w:pPr>
      <w:r w:rsidRPr="007D27A6">
        <w:rPr>
          <w:rFonts w:ascii="Noto Sans" w:eastAsia="Times New Roman" w:hAnsi="Noto Sans" w:cs="Noto Sans"/>
        </w:rPr>
        <w:t xml:space="preserve">students and homeowners: Evidence from Los Angeles. </w:t>
      </w:r>
      <w:r w:rsidRPr="007D27A6">
        <w:rPr>
          <w:rFonts w:ascii="Noto Sans" w:eastAsia="Times New Roman" w:hAnsi="Noto Sans" w:cs="Noto Sans"/>
          <w:i/>
          <w:iCs/>
        </w:rPr>
        <w:t>American Economic Journal</w:t>
      </w:r>
      <w:r w:rsidRPr="00CB4C4F">
        <w:rPr>
          <w:rFonts w:ascii="Noto Sans" w:eastAsia="Times New Roman" w:hAnsi="Noto Sans" w:cs="Noto Sans"/>
          <w:i/>
          <w:iCs/>
        </w:rPr>
        <w:t>: Applied Economics, 14(</w:t>
      </w:r>
      <w:r w:rsidRPr="00CB4C4F">
        <w:rPr>
          <w:rFonts w:ascii="Noto Sans" w:eastAsia="Times New Roman" w:hAnsi="Noto Sans" w:cs="Noto Sans"/>
        </w:rPr>
        <w:t>3), 254</w:t>
      </w:r>
      <w:r w:rsidR="00FA0F8B">
        <w:rPr>
          <w:rFonts w:ascii="Noto Sans" w:eastAsia="Times New Roman" w:hAnsi="Noto Sans" w:cs="Noto Sans"/>
        </w:rPr>
        <w:t>–</w:t>
      </w:r>
      <w:r w:rsidRPr="00CB4C4F">
        <w:rPr>
          <w:rFonts w:ascii="Noto Sans" w:eastAsia="Times New Roman" w:hAnsi="Noto Sans" w:cs="Noto Sans"/>
        </w:rPr>
        <w:t>289.</w:t>
      </w:r>
    </w:p>
    <w:p w14:paraId="7DCB13C2" w14:textId="6F71E0D4" w:rsidR="00A551F3" w:rsidRPr="00FA0F8B" w:rsidRDefault="00CB4C4F" w:rsidP="00A551F3">
      <w:pPr>
        <w:rPr>
          <w:rFonts w:ascii="Noto Sans" w:hAnsi="Noto Sans" w:cs="Noto Sans"/>
          <w:i/>
          <w:iCs/>
          <w:color w:val="000000"/>
        </w:rPr>
      </w:pPr>
      <w:r w:rsidRPr="00CB4C4F">
        <w:rPr>
          <w:rFonts w:ascii="Noto Sans" w:hAnsi="Noto Sans" w:cs="Noto Sans"/>
          <w:color w:val="000000"/>
        </w:rPr>
        <w:t xml:space="preserve">Yang, </w:t>
      </w:r>
      <w:r w:rsidR="00537F2D">
        <w:rPr>
          <w:rFonts w:ascii="Noto Sans" w:hAnsi="Noto Sans" w:cs="Noto Sans"/>
          <w:color w:val="000000"/>
        </w:rPr>
        <w:t>L</w:t>
      </w:r>
      <w:r w:rsidRPr="00CB4C4F">
        <w:rPr>
          <w:rFonts w:ascii="Noto Sans" w:hAnsi="Noto Sans" w:cs="Noto Sans"/>
          <w:color w:val="000000"/>
        </w:rPr>
        <w:t xml:space="preserve">. (2022, December 6). </w:t>
      </w:r>
      <w:r w:rsidRPr="00FA0F8B">
        <w:rPr>
          <w:rFonts w:ascii="Noto Sans" w:hAnsi="Noto Sans" w:cs="Noto Sans"/>
          <w:i/>
          <w:iCs/>
          <w:color w:val="000000"/>
        </w:rPr>
        <w:t>State credit enhancement programs promote capital</w:t>
      </w:r>
    </w:p>
    <w:p w14:paraId="2AD0E851" w14:textId="3FF32FE4" w:rsidR="001C78D5" w:rsidRPr="0047485F" w:rsidRDefault="00CB4C4F" w:rsidP="0047485F">
      <w:pPr>
        <w:ind w:left="720"/>
        <w:rPr>
          <w:rFonts w:ascii="Noto Sans" w:hAnsi="Noto Sans" w:cs="Noto Sans"/>
          <w:color w:val="000000"/>
        </w:rPr>
      </w:pPr>
      <w:r w:rsidRPr="00FA0F8B">
        <w:rPr>
          <w:rFonts w:ascii="Noto Sans" w:hAnsi="Noto Sans" w:cs="Noto Sans"/>
          <w:i/>
          <w:iCs/>
          <w:color w:val="000000"/>
        </w:rPr>
        <w:t>investment in low-income districts</w:t>
      </w:r>
      <w:r w:rsidRPr="00CB4C4F">
        <w:rPr>
          <w:rFonts w:ascii="Noto Sans" w:hAnsi="Noto Sans" w:cs="Noto Sans"/>
          <w:color w:val="000000"/>
        </w:rPr>
        <w:t xml:space="preserve">. </w:t>
      </w:r>
      <w:r w:rsidRPr="00FA0F8B">
        <w:rPr>
          <w:rFonts w:ascii="Noto Sans" w:hAnsi="Noto Sans" w:cs="Noto Sans"/>
          <w:color w:val="000000"/>
        </w:rPr>
        <w:t>Brookings Institution.</w:t>
      </w:r>
      <w:r w:rsidR="00A551F3" w:rsidRPr="00FA0F8B">
        <w:rPr>
          <w:rFonts w:ascii="Noto Sans" w:hAnsi="Noto Sans" w:cs="Noto Sans"/>
          <w:color w:val="000000"/>
        </w:rPr>
        <w:t xml:space="preserve"> </w:t>
      </w:r>
      <w:hyperlink r:id="rId10" w:history="1">
        <w:r w:rsidR="00A551F3" w:rsidRPr="003866F7">
          <w:rPr>
            <w:rStyle w:val="Hyperlink"/>
            <w:rFonts w:ascii="Noto Sans" w:hAnsi="Noto Sans" w:cs="Noto Sans"/>
          </w:rPr>
          <w:t>https://www.brookings.edu/articles/state-credit-enhancement-programs-promote-capital-investment-in-low-income-districts/</w:t>
        </w:r>
      </w:hyperlink>
      <w:r w:rsidR="00A551F3">
        <w:rPr>
          <w:rFonts w:ascii="Noto Sans" w:hAnsi="Noto Sans" w:cs="Noto Sans"/>
          <w:color w:val="000000"/>
        </w:rPr>
        <w:t xml:space="preserve"> </w:t>
      </w:r>
    </w:p>
    <w:sectPr w:rsidR="001C78D5" w:rsidRPr="0047485F" w:rsidSect="00964743">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1138" w14:textId="77777777" w:rsidR="00C55756" w:rsidRDefault="00C55756" w:rsidP="00C9415B">
      <w:r>
        <w:separator/>
      </w:r>
    </w:p>
  </w:endnote>
  <w:endnote w:type="continuationSeparator" w:id="0">
    <w:p w14:paraId="57ACCA1E" w14:textId="77777777" w:rsidR="00C55756" w:rsidRDefault="00C55756" w:rsidP="00C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5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00CA" w14:textId="24BC1DE2" w:rsidR="00C9415B" w:rsidRDefault="00C9415B" w:rsidP="00C9415B">
    <w:pPr>
      <w:pStyle w:val="Footer"/>
      <w:jc w:val="right"/>
    </w:pPr>
    <w:r>
      <w:rPr>
        <w:noProof/>
      </w:rPr>
      <w:drawing>
        <wp:inline distT="0" distB="0" distL="0" distR="0" wp14:anchorId="5FD32AC3" wp14:editId="3A6B0DE2">
          <wp:extent cx="768542" cy="156110"/>
          <wp:effectExtent l="0" t="0" r="0" b="0"/>
          <wp:docPr id="1785296412" name="Picture 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96412" name="Picture 3"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852023" cy="173067"/>
                  </a:xfrm>
                  <a:prstGeom prst="rect">
                    <a:avLst/>
                  </a:prstGeom>
                </pic:spPr>
              </pic:pic>
            </a:graphicData>
          </a:graphic>
        </wp:inline>
      </w:drawing>
    </w:r>
  </w:p>
  <w:p w14:paraId="4E35E536" w14:textId="77777777" w:rsidR="00C9415B" w:rsidRDefault="00C9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948A" w14:textId="77777777" w:rsidR="00C55756" w:rsidRDefault="00C55756" w:rsidP="00C9415B">
      <w:r>
        <w:separator/>
      </w:r>
    </w:p>
  </w:footnote>
  <w:footnote w:type="continuationSeparator" w:id="0">
    <w:p w14:paraId="6ACDE8D4" w14:textId="77777777" w:rsidR="00C55756" w:rsidRDefault="00C55756" w:rsidP="00C9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699A" w14:textId="69752A61" w:rsidR="00C9415B" w:rsidRDefault="00C9415B">
    <w:pPr>
      <w:pStyle w:val="Header"/>
    </w:pPr>
  </w:p>
  <w:p w14:paraId="790D8787" w14:textId="77777777" w:rsidR="00C9415B" w:rsidRDefault="00C9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2C80" w14:textId="4EE7AC45" w:rsidR="00964743" w:rsidRDefault="00964743">
    <w:pPr>
      <w:pStyle w:val="Header"/>
    </w:pPr>
    <w:r>
      <w:rPr>
        <w:noProof/>
      </w:rPr>
      <w:drawing>
        <wp:inline distT="0" distB="0" distL="0" distR="0" wp14:anchorId="28C8B586" wp14:editId="36E8A315">
          <wp:extent cx="1206365" cy="904774"/>
          <wp:effectExtent l="0" t="0" r="0" b="0"/>
          <wp:docPr id="1414334287" name="Picture 1" descr="A logo with a light bulb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4287" name="Picture 1" descr="A logo with a light bulb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7493" cy="9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8F6F"/>
    <w:multiLevelType w:val="hybridMultilevel"/>
    <w:tmpl w:val="8D348286"/>
    <w:lvl w:ilvl="0" w:tplc="AECA137A">
      <w:start w:val="1"/>
      <w:numFmt w:val="decimal"/>
      <w:lvlText w:val="%1."/>
      <w:lvlJc w:val="left"/>
      <w:pPr>
        <w:ind w:left="720" w:hanging="360"/>
      </w:pPr>
    </w:lvl>
    <w:lvl w:ilvl="1" w:tplc="6D9A1E16">
      <w:start w:val="1"/>
      <w:numFmt w:val="lowerLetter"/>
      <w:lvlText w:val="%2."/>
      <w:lvlJc w:val="left"/>
      <w:pPr>
        <w:ind w:left="1440" w:hanging="360"/>
      </w:pPr>
    </w:lvl>
    <w:lvl w:ilvl="2" w:tplc="7E8AF7CE">
      <w:start w:val="1"/>
      <w:numFmt w:val="lowerRoman"/>
      <w:lvlText w:val="%3."/>
      <w:lvlJc w:val="right"/>
      <w:pPr>
        <w:ind w:left="2160" w:hanging="180"/>
      </w:pPr>
    </w:lvl>
    <w:lvl w:ilvl="3" w:tplc="662ACEB6">
      <w:start w:val="1"/>
      <w:numFmt w:val="decimal"/>
      <w:lvlText w:val="%4."/>
      <w:lvlJc w:val="left"/>
      <w:pPr>
        <w:ind w:left="2880" w:hanging="360"/>
      </w:pPr>
    </w:lvl>
    <w:lvl w:ilvl="4" w:tplc="D0B2DFD2">
      <w:start w:val="1"/>
      <w:numFmt w:val="lowerLetter"/>
      <w:lvlText w:val="%5."/>
      <w:lvlJc w:val="left"/>
      <w:pPr>
        <w:ind w:left="3600" w:hanging="360"/>
      </w:pPr>
    </w:lvl>
    <w:lvl w:ilvl="5" w:tplc="1C84530C">
      <w:start w:val="1"/>
      <w:numFmt w:val="lowerRoman"/>
      <w:lvlText w:val="%6."/>
      <w:lvlJc w:val="right"/>
      <w:pPr>
        <w:ind w:left="4320" w:hanging="180"/>
      </w:pPr>
    </w:lvl>
    <w:lvl w:ilvl="6" w:tplc="73B687E2">
      <w:start w:val="1"/>
      <w:numFmt w:val="decimal"/>
      <w:lvlText w:val="%7."/>
      <w:lvlJc w:val="left"/>
      <w:pPr>
        <w:ind w:left="5040" w:hanging="360"/>
      </w:pPr>
    </w:lvl>
    <w:lvl w:ilvl="7" w:tplc="7256CDBE">
      <w:start w:val="1"/>
      <w:numFmt w:val="lowerLetter"/>
      <w:lvlText w:val="%8."/>
      <w:lvlJc w:val="left"/>
      <w:pPr>
        <w:ind w:left="5760" w:hanging="360"/>
      </w:pPr>
    </w:lvl>
    <w:lvl w:ilvl="8" w:tplc="87DEB060">
      <w:start w:val="1"/>
      <w:numFmt w:val="lowerRoman"/>
      <w:lvlText w:val="%9."/>
      <w:lvlJc w:val="right"/>
      <w:pPr>
        <w:ind w:left="6480" w:hanging="180"/>
      </w:pPr>
    </w:lvl>
  </w:abstractNum>
  <w:abstractNum w:abstractNumId="1" w15:restartNumberingAfterBreak="0">
    <w:nsid w:val="39DDA080"/>
    <w:multiLevelType w:val="hybridMultilevel"/>
    <w:tmpl w:val="F93AAA76"/>
    <w:lvl w:ilvl="0" w:tplc="E674B4FA">
      <w:start w:val="1"/>
      <w:numFmt w:val="decimal"/>
      <w:lvlText w:val="%1."/>
      <w:lvlJc w:val="left"/>
      <w:pPr>
        <w:ind w:left="720" w:hanging="360"/>
      </w:pPr>
      <w:rPr>
        <w:color w:val="auto"/>
      </w:rPr>
    </w:lvl>
    <w:lvl w:ilvl="1" w:tplc="01CC3F24">
      <w:start w:val="1"/>
      <w:numFmt w:val="lowerLetter"/>
      <w:lvlText w:val="%2."/>
      <w:lvlJc w:val="left"/>
      <w:pPr>
        <w:ind w:left="1440" w:hanging="360"/>
      </w:pPr>
    </w:lvl>
    <w:lvl w:ilvl="2" w:tplc="96187C7E">
      <w:start w:val="1"/>
      <w:numFmt w:val="lowerRoman"/>
      <w:lvlText w:val="%3."/>
      <w:lvlJc w:val="right"/>
      <w:pPr>
        <w:ind w:left="2160" w:hanging="180"/>
      </w:pPr>
    </w:lvl>
    <w:lvl w:ilvl="3" w:tplc="4F1EA5B2">
      <w:start w:val="1"/>
      <w:numFmt w:val="decimal"/>
      <w:lvlText w:val="%4."/>
      <w:lvlJc w:val="left"/>
      <w:pPr>
        <w:ind w:left="2880" w:hanging="360"/>
      </w:pPr>
    </w:lvl>
    <w:lvl w:ilvl="4" w:tplc="3AA2A144">
      <w:start w:val="1"/>
      <w:numFmt w:val="lowerLetter"/>
      <w:lvlText w:val="%5."/>
      <w:lvlJc w:val="left"/>
      <w:pPr>
        <w:ind w:left="3600" w:hanging="360"/>
      </w:pPr>
    </w:lvl>
    <w:lvl w:ilvl="5" w:tplc="4546EFA8">
      <w:start w:val="1"/>
      <w:numFmt w:val="lowerRoman"/>
      <w:lvlText w:val="%6."/>
      <w:lvlJc w:val="right"/>
      <w:pPr>
        <w:ind w:left="4320" w:hanging="180"/>
      </w:pPr>
    </w:lvl>
    <w:lvl w:ilvl="6" w:tplc="8C72650A">
      <w:start w:val="1"/>
      <w:numFmt w:val="decimal"/>
      <w:lvlText w:val="%7."/>
      <w:lvlJc w:val="left"/>
      <w:pPr>
        <w:ind w:left="5040" w:hanging="360"/>
      </w:pPr>
    </w:lvl>
    <w:lvl w:ilvl="7" w:tplc="C178CA18">
      <w:start w:val="1"/>
      <w:numFmt w:val="lowerLetter"/>
      <w:lvlText w:val="%8."/>
      <w:lvlJc w:val="left"/>
      <w:pPr>
        <w:ind w:left="5760" w:hanging="360"/>
      </w:pPr>
    </w:lvl>
    <w:lvl w:ilvl="8" w:tplc="7DB6219A">
      <w:start w:val="1"/>
      <w:numFmt w:val="lowerRoman"/>
      <w:lvlText w:val="%9."/>
      <w:lvlJc w:val="right"/>
      <w:pPr>
        <w:ind w:left="6480" w:hanging="180"/>
      </w:pPr>
    </w:lvl>
  </w:abstractNum>
  <w:abstractNum w:abstractNumId="2" w15:restartNumberingAfterBreak="0">
    <w:nsid w:val="428D5587"/>
    <w:multiLevelType w:val="hybridMultilevel"/>
    <w:tmpl w:val="E9FC2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0355A"/>
    <w:multiLevelType w:val="hybridMultilevel"/>
    <w:tmpl w:val="47C83E8E"/>
    <w:lvl w:ilvl="0" w:tplc="563CA314">
      <w:start w:val="1"/>
      <w:numFmt w:val="bullet"/>
      <w:lvlText w:val=""/>
      <w:lvlJc w:val="left"/>
      <w:pPr>
        <w:ind w:left="720" w:hanging="360"/>
      </w:pPr>
      <w:rPr>
        <w:rFonts w:ascii="Symbol" w:hAnsi="Symbol" w:hint="default"/>
      </w:rPr>
    </w:lvl>
    <w:lvl w:ilvl="1" w:tplc="CD68949E">
      <w:start w:val="1"/>
      <w:numFmt w:val="bullet"/>
      <w:lvlText w:val="o"/>
      <w:lvlJc w:val="left"/>
      <w:pPr>
        <w:ind w:left="1440" w:hanging="360"/>
      </w:pPr>
      <w:rPr>
        <w:rFonts w:ascii="Courier New" w:hAnsi="Courier New" w:hint="default"/>
      </w:rPr>
    </w:lvl>
    <w:lvl w:ilvl="2" w:tplc="D602B860">
      <w:start w:val="1"/>
      <w:numFmt w:val="bullet"/>
      <w:lvlText w:val=""/>
      <w:lvlJc w:val="left"/>
      <w:pPr>
        <w:ind w:left="2160" w:hanging="360"/>
      </w:pPr>
      <w:rPr>
        <w:rFonts w:ascii="Wingdings" w:hAnsi="Wingdings" w:hint="default"/>
      </w:rPr>
    </w:lvl>
    <w:lvl w:ilvl="3" w:tplc="CCE89242">
      <w:start w:val="1"/>
      <w:numFmt w:val="bullet"/>
      <w:lvlText w:val=""/>
      <w:lvlJc w:val="left"/>
      <w:pPr>
        <w:ind w:left="2880" w:hanging="360"/>
      </w:pPr>
      <w:rPr>
        <w:rFonts w:ascii="Symbol" w:hAnsi="Symbol" w:hint="default"/>
      </w:rPr>
    </w:lvl>
    <w:lvl w:ilvl="4" w:tplc="60A06FAA">
      <w:start w:val="1"/>
      <w:numFmt w:val="bullet"/>
      <w:lvlText w:val="o"/>
      <w:lvlJc w:val="left"/>
      <w:pPr>
        <w:ind w:left="3600" w:hanging="360"/>
      </w:pPr>
      <w:rPr>
        <w:rFonts w:ascii="Courier New" w:hAnsi="Courier New" w:hint="default"/>
      </w:rPr>
    </w:lvl>
    <w:lvl w:ilvl="5" w:tplc="2962200A">
      <w:start w:val="1"/>
      <w:numFmt w:val="bullet"/>
      <w:lvlText w:val=""/>
      <w:lvlJc w:val="left"/>
      <w:pPr>
        <w:ind w:left="4320" w:hanging="360"/>
      </w:pPr>
      <w:rPr>
        <w:rFonts w:ascii="Wingdings" w:hAnsi="Wingdings" w:hint="default"/>
      </w:rPr>
    </w:lvl>
    <w:lvl w:ilvl="6" w:tplc="A710C288">
      <w:start w:val="1"/>
      <w:numFmt w:val="bullet"/>
      <w:lvlText w:val=""/>
      <w:lvlJc w:val="left"/>
      <w:pPr>
        <w:ind w:left="5040" w:hanging="360"/>
      </w:pPr>
      <w:rPr>
        <w:rFonts w:ascii="Symbol" w:hAnsi="Symbol" w:hint="default"/>
      </w:rPr>
    </w:lvl>
    <w:lvl w:ilvl="7" w:tplc="6F28BDE2">
      <w:start w:val="1"/>
      <w:numFmt w:val="bullet"/>
      <w:lvlText w:val="o"/>
      <w:lvlJc w:val="left"/>
      <w:pPr>
        <w:ind w:left="5760" w:hanging="360"/>
      </w:pPr>
      <w:rPr>
        <w:rFonts w:ascii="Courier New" w:hAnsi="Courier New" w:hint="default"/>
      </w:rPr>
    </w:lvl>
    <w:lvl w:ilvl="8" w:tplc="3AC04F38">
      <w:start w:val="1"/>
      <w:numFmt w:val="bullet"/>
      <w:lvlText w:val=""/>
      <w:lvlJc w:val="left"/>
      <w:pPr>
        <w:ind w:left="6480" w:hanging="360"/>
      </w:pPr>
      <w:rPr>
        <w:rFonts w:ascii="Wingdings" w:hAnsi="Wingdings" w:hint="default"/>
      </w:rPr>
    </w:lvl>
  </w:abstractNum>
  <w:abstractNum w:abstractNumId="4" w15:restartNumberingAfterBreak="0">
    <w:nsid w:val="60BC901C"/>
    <w:multiLevelType w:val="hybridMultilevel"/>
    <w:tmpl w:val="96166FAE"/>
    <w:lvl w:ilvl="0" w:tplc="F5A2EE22">
      <w:start w:val="1"/>
      <w:numFmt w:val="bullet"/>
      <w:lvlText w:val=""/>
      <w:lvlJc w:val="left"/>
      <w:pPr>
        <w:ind w:left="720" w:hanging="360"/>
      </w:pPr>
      <w:rPr>
        <w:rFonts w:ascii="Symbol" w:hAnsi="Symbol" w:hint="default"/>
      </w:rPr>
    </w:lvl>
    <w:lvl w:ilvl="1" w:tplc="43C8E06E">
      <w:start w:val="1"/>
      <w:numFmt w:val="bullet"/>
      <w:lvlText w:val="o"/>
      <w:lvlJc w:val="left"/>
      <w:pPr>
        <w:ind w:left="1440" w:hanging="360"/>
      </w:pPr>
      <w:rPr>
        <w:rFonts w:ascii="Courier New" w:hAnsi="Courier New" w:hint="default"/>
      </w:rPr>
    </w:lvl>
    <w:lvl w:ilvl="2" w:tplc="9C46DA6E">
      <w:start w:val="1"/>
      <w:numFmt w:val="bullet"/>
      <w:lvlText w:val=""/>
      <w:lvlJc w:val="left"/>
      <w:pPr>
        <w:ind w:left="2160" w:hanging="360"/>
      </w:pPr>
      <w:rPr>
        <w:rFonts w:ascii="Wingdings" w:hAnsi="Wingdings" w:hint="default"/>
      </w:rPr>
    </w:lvl>
    <w:lvl w:ilvl="3" w:tplc="2858FCFC">
      <w:start w:val="1"/>
      <w:numFmt w:val="bullet"/>
      <w:lvlText w:val=""/>
      <w:lvlJc w:val="left"/>
      <w:pPr>
        <w:ind w:left="2880" w:hanging="360"/>
      </w:pPr>
      <w:rPr>
        <w:rFonts w:ascii="Symbol" w:hAnsi="Symbol" w:hint="default"/>
      </w:rPr>
    </w:lvl>
    <w:lvl w:ilvl="4" w:tplc="F520839C">
      <w:start w:val="1"/>
      <w:numFmt w:val="bullet"/>
      <w:lvlText w:val="o"/>
      <w:lvlJc w:val="left"/>
      <w:pPr>
        <w:ind w:left="3600" w:hanging="360"/>
      </w:pPr>
      <w:rPr>
        <w:rFonts w:ascii="Courier New" w:hAnsi="Courier New" w:hint="default"/>
      </w:rPr>
    </w:lvl>
    <w:lvl w:ilvl="5" w:tplc="5CACBA28">
      <w:start w:val="1"/>
      <w:numFmt w:val="bullet"/>
      <w:lvlText w:val=""/>
      <w:lvlJc w:val="left"/>
      <w:pPr>
        <w:ind w:left="4320" w:hanging="360"/>
      </w:pPr>
      <w:rPr>
        <w:rFonts w:ascii="Wingdings" w:hAnsi="Wingdings" w:hint="default"/>
      </w:rPr>
    </w:lvl>
    <w:lvl w:ilvl="6" w:tplc="3058FBDC">
      <w:start w:val="1"/>
      <w:numFmt w:val="bullet"/>
      <w:lvlText w:val=""/>
      <w:lvlJc w:val="left"/>
      <w:pPr>
        <w:ind w:left="5040" w:hanging="360"/>
      </w:pPr>
      <w:rPr>
        <w:rFonts w:ascii="Symbol" w:hAnsi="Symbol" w:hint="default"/>
      </w:rPr>
    </w:lvl>
    <w:lvl w:ilvl="7" w:tplc="E8A6A7DC">
      <w:start w:val="1"/>
      <w:numFmt w:val="bullet"/>
      <w:lvlText w:val="o"/>
      <w:lvlJc w:val="left"/>
      <w:pPr>
        <w:ind w:left="5760" w:hanging="360"/>
      </w:pPr>
      <w:rPr>
        <w:rFonts w:ascii="Courier New" w:hAnsi="Courier New" w:hint="default"/>
      </w:rPr>
    </w:lvl>
    <w:lvl w:ilvl="8" w:tplc="36CED51C">
      <w:start w:val="1"/>
      <w:numFmt w:val="bullet"/>
      <w:lvlText w:val=""/>
      <w:lvlJc w:val="left"/>
      <w:pPr>
        <w:ind w:left="6480" w:hanging="360"/>
      </w:pPr>
      <w:rPr>
        <w:rFonts w:ascii="Wingdings" w:hAnsi="Wingdings" w:hint="default"/>
      </w:rPr>
    </w:lvl>
  </w:abstractNum>
  <w:num w:numId="1" w16cid:durableId="1167480433">
    <w:abstractNumId w:val="0"/>
  </w:num>
  <w:num w:numId="2" w16cid:durableId="1266494504">
    <w:abstractNumId w:val="3"/>
  </w:num>
  <w:num w:numId="3" w16cid:durableId="2063090994">
    <w:abstractNumId w:val="1"/>
  </w:num>
  <w:num w:numId="4" w16cid:durableId="889420579">
    <w:abstractNumId w:val="4"/>
  </w:num>
  <w:num w:numId="5" w16cid:durableId="100185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4561"/>
    <w:rsid w:val="000506C9"/>
    <w:rsid w:val="000B3B50"/>
    <w:rsid w:val="000E4C41"/>
    <w:rsid w:val="000E69AD"/>
    <w:rsid w:val="001C78D5"/>
    <w:rsid w:val="002466FF"/>
    <w:rsid w:val="003003A9"/>
    <w:rsid w:val="00303003"/>
    <w:rsid w:val="003951EE"/>
    <w:rsid w:val="003A2DC5"/>
    <w:rsid w:val="003A6572"/>
    <w:rsid w:val="0047485F"/>
    <w:rsid w:val="004F6A14"/>
    <w:rsid w:val="005060B3"/>
    <w:rsid w:val="00537F2D"/>
    <w:rsid w:val="006D48DA"/>
    <w:rsid w:val="006F4CC8"/>
    <w:rsid w:val="00707064"/>
    <w:rsid w:val="00757997"/>
    <w:rsid w:val="00783988"/>
    <w:rsid w:val="007B34AE"/>
    <w:rsid w:val="007B62AA"/>
    <w:rsid w:val="007B79C5"/>
    <w:rsid w:val="007D27A6"/>
    <w:rsid w:val="007E7A83"/>
    <w:rsid w:val="00806BF5"/>
    <w:rsid w:val="0084269A"/>
    <w:rsid w:val="008676D5"/>
    <w:rsid w:val="00903F98"/>
    <w:rsid w:val="0091022B"/>
    <w:rsid w:val="00916483"/>
    <w:rsid w:val="00917AC8"/>
    <w:rsid w:val="00964743"/>
    <w:rsid w:val="009E0A91"/>
    <w:rsid w:val="009F1D3D"/>
    <w:rsid w:val="00A224CC"/>
    <w:rsid w:val="00A551F3"/>
    <w:rsid w:val="00A64AAD"/>
    <w:rsid w:val="00A70D61"/>
    <w:rsid w:val="00B63418"/>
    <w:rsid w:val="00BA14D5"/>
    <w:rsid w:val="00BA3BD0"/>
    <w:rsid w:val="00BC74FD"/>
    <w:rsid w:val="00BF2A70"/>
    <w:rsid w:val="00C55756"/>
    <w:rsid w:val="00C578D4"/>
    <w:rsid w:val="00C9415B"/>
    <w:rsid w:val="00CB4C4F"/>
    <w:rsid w:val="00CC6BAB"/>
    <w:rsid w:val="00CD6F2D"/>
    <w:rsid w:val="00D1010D"/>
    <w:rsid w:val="00E51A3B"/>
    <w:rsid w:val="00EA042F"/>
    <w:rsid w:val="00ED71AA"/>
    <w:rsid w:val="00ED7819"/>
    <w:rsid w:val="00EE6E42"/>
    <w:rsid w:val="00F015DA"/>
    <w:rsid w:val="00F33694"/>
    <w:rsid w:val="00F57D13"/>
    <w:rsid w:val="00F6609E"/>
    <w:rsid w:val="00F87D3D"/>
    <w:rsid w:val="00FA0F8B"/>
    <w:rsid w:val="00FB0B25"/>
    <w:rsid w:val="00FC6018"/>
    <w:rsid w:val="057F7CE2"/>
    <w:rsid w:val="2A7D1B59"/>
    <w:rsid w:val="3AE9B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7D1B59"/>
    <w:rPr>
      <w:color w:val="0563C1"/>
      <w:u w:val="single"/>
    </w:rPr>
  </w:style>
  <w:style w:type="paragraph" w:styleId="ListParagraph">
    <w:name w:val="List Paragraph"/>
    <w:basedOn w:val="Normal"/>
    <w:uiPriority w:val="34"/>
    <w:qFormat/>
    <w:rsid w:val="2A7D1B59"/>
    <w:pPr>
      <w:ind w:left="720"/>
      <w:contextualSpacing/>
    </w:pPr>
  </w:style>
  <w:style w:type="paragraph" w:styleId="Header">
    <w:name w:val="header"/>
    <w:basedOn w:val="Normal"/>
    <w:link w:val="HeaderChar"/>
    <w:uiPriority w:val="99"/>
    <w:unhideWhenUsed/>
    <w:rsid w:val="00C9415B"/>
    <w:pPr>
      <w:tabs>
        <w:tab w:val="center" w:pos="4680"/>
        <w:tab w:val="right" w:pos="9360"/>
      </w:tabs>
    </w:pPr>
  </w:style>
  <w:style w:type="character" w:customStyle="1" w:styleId="HeaderChar">
    <w:name w:val="Header Char"/>
    <w:basedOn w:val="DefaultParagraphFont"/>
    <w:link w:val="Header"/>
    <w:uiPriority w:val="99"/>
    <w:rsid w:val="00C9415B"/>
  </w:style>
  <w:style w:type="paragraph" w:styleId="Footer">
    <w:name w:val="footer"/>
    <w:basedOn w:val="Normal"/>
    <w:link w:val="FooterChar"/>
    <w:uiPriority w:val="99"/>
    <w:unhideWhenUsed/>
    <w:rsid w:val="00C9415B"/>
    <w:pPr>
      <w:tabs>
        <w:tab w:val="center" w:pos="4680"/>
        <w:tab w:val="right" w:pos="9360"/>
      </w:tabs>
    </w:pPr>
  </w:style>
  <w:style w:type="character" w:customStyle="1" w:styleId="FooterChar">
    <w:name w:val="Footer Char"/>
    <w:basedOn w:val="DefaultParagraphFont"/>
    <w:link w:val="Footer"/>
    <w:uiPriority w:val="99"/>
    <w:rsid w:val="00C9415B"/>
  </w:style>
  <w:style w:type="paragraph" w:styleId="Revision">
    <w:name w:val="Revision"/>
    <w:hidden/>
    <w:uiPriority w:val="99"/>
    <w:semiHidden/>
    <w:rsid w:val="00C9415B"/>
  </w:style>
  <w:style w:type="character" w:styleId="CommentReference">
    <w:name w:val="annotation reference"/>
    <w:basedOn w:val="DefaultParagraphFont"/>
    <w:uiPriority w:val="99"/>
    <w:semiHidden/>
    <w:unhideWhenUsed/>
    <w:rsid w:val="00C9415B"/>
    <w:rPr>
      <w:sz w:val="16"/>
      <w:szCs w:val="16"/>
    </w:rPr>
  </w:style>
  <w:style w:type="paragraph" w:styleId="CommentText">
    <w:name w:val="annotation text"/>
    <w:basedOn w:val="Normal"/>
    <w:link w:val="CommentTextChar"/>
    <w:uiPriority w:val="99"/>
    <w:semiHidden/>
    <w:unhideWhenUsed/>
    <w:rsid w:val="00C9415B"/>
    <w:rPr>
      <w:sz w:val="20"/>
      <w:szCs w:val="20"/>
    </w:rPr>
  </w:style>
  <w:style w:type="character" w:customStyle="1" w:styleId="CommentTextChar">
    <w:name w:val="Comment Text Char"/>
    <w:basedOn w:val="DefaultParagraphFont"/>
    <w:link w:val="CommentText"/>
    <w:uiPriority w:val="99"/>
    <w:semiHidden/>
    <w:rsid w:val="00C9415B"/>
    <w:rPr>
      <w:sz w:val="20"/>
      <w:szCs w:val="20"/>
    </w:rPr>
  </w:style>
  <w:style w:type="paragraph" w:styleId="CommentSubject">
    <w:name w:val="annotation subject"/>
    <w:basedOn w:val="CommentText"/>
    <w:next w:val="CommentText"/>
    <w:link w:val="CommentSubjectChar"/>
    <w:uiPriority w:val="99"/>
    <w:semiHidden/>
    <w:unhideWhenUsed/>
    <w:rsid w:val="00C9415B"/>
    <w:rPr>
      <w:b/>
      <w:bCs/>
    </w:rPr>
  </w:style>
  <w:style w:type="character" w:customStyle="1" w:styleId="CommentSubjectChar">
    <w:name w:val="Comment Subject Char"/>
    <w:basedOn w:val="CommentTextChar"/>
    <w:link w:val="CommentSubject"/>
    <w:uiPriority w:val="99"/>
    <w:semiHidden/>
    <w:rsid w:val="00C9415B"/>
    <w:rPr>
      <w:b/>
      <w:bCs/>
      <w:sz w:val="20"/>
      <w:szCs w:val="20"/>
    </w:rPr>
  </w:style>
  <w:style w:type="character" w:styleId="UnresolvedMention">
    <w:name w:val="Unresolved Mention"/>
    <w:basedOn w:val="DefaultParagraphFont"/>
    <w:uiPriority w:val="99"/>
    <w:rsid w:val="007D27A6"/>
    <w:rPr>
      <w:color w:val="605E5C"/>
      <w:shd w:val="clear" w:color="auto" w:fill="E1DFDD"/>
    </w:rPr>
  </w:style>
  <w:style w:type="character" w:styleId="FollowedHyperlink">
    <w:name w:val="FollowedHyperlink"/>
    <w:basedOn w:val="DefaultParagraphFont"/>
    <w:uiPriority w:val="99"/>
    <w:semiHidden/>
    <w:unhideWhenUsed/>
    <w:rsid w:val="00B634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ic.org/publication/equitable-state-funding-for-school-facilit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21csf.org/uploads/pub/2025%20State%20of%20Schools%20020226_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ookings.edu/articles/state-credit-enhancement-programs-promote-capital-investment-in-low-income-districts/" TargetMode="External"/><Relationship Id="rId4" Type="http://schemas.openxmlformats.org/officeDocument/2006/relationships/webSettings" Target="webSettings.xml"/><Relationship Id="rId9" Type="http://schemas.openxmlformats.org/officeDocument/2006/relationships/hyperlink" Target="https://www.brookings.edu/articles/state-credit-enhancement-programs-promote-capital-investment-in-low-income-distric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6413</Characters>
  <Application>Microsoft Office Word</Application>
  <DocSecurity>0</DocSecurity>
  <Lines>130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Sharon Agnello</cp:lastModifiedBy>
  <cp:revision>2</cp:revision>
  <dcterms:created xsi:type="dcterms:W3CDTF">2026-06-04T18:28:00Z</dcterms:created>
  <dcterms:modified xsi:type="dcterms:W3CDTF">2026-06-04T18:28:00Z</dcterms:modified>
</cp:coreProperties>
</file>