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D2E7" w14:textId="77777777" w:rsidR="0089474F" w:rsidRDefault="0089474F" w:rsidP="0089474F">
      <w:pPr>
        <w:rPr>
          <w:rFonts w:ascii="Noto Sans Kannada" w:eastAsia="Times New Roman" w:hAnsi="Noto Sans Kannada" w:cs="Noto Sans Kannada"/>
          <w:b/>
          <w:bCs/>
        </w:rPr>
      </w:pPr>
    </w:p>
    <w:p w14:paraId="55B12394" w14:textId="77777777" w:rsidR="0089474F" w:rsidRPr="00314717" w:rsidRDefault="0089474F" w:rsidP="0089474F">
      <w:pPr>
        <w:jc w:val="both"/>
        <w:rPr>
          <w:rFonts w:ascii="Noto Sans" w:eastAsia="Times New Roman" w:hAnsi="Noto Sans" w:cs="Noto Sans"/>
          <w:b/>
          <w:bCs/>
          <w:sz w:val="18"/>
          <w:szCs w:val="18"/>
        </w:rPr>
      </w:pPr>
      <w:r w:rsidRPr="00314717">
        <w:rPr>
          <w:rFonts w:ascii="Noto Sans" w:eastAsia="Times New Roman" w:hAnsi="Noto Sans" w:cs="Noto Sans"/>
          <w:b/>
          <w:bCs/>
          <w:sz w:val="18"/>
          <w:szCs w:val="18"/>
        </w:rPr>
        <w:t xml:space="preserve">This one-pager is designed to be white-labeled for use by advocates and policy organizations. You are welcome to keep the </w:t>
      </w:r>
      <w:r w:rsidRPr="00314717">
        <w:rPr>
          <w:rFonts w:ascii="Noto Sans" w:eastAsia="Times New Roman" w:hAnsi="Noto Sans" w:cs="Noto Sans"/>
          <w:b/>
          <w:bCs/>
          <w:color w:val="11698C"/>
          <w:sz w:val="18"/>
          <w:szCs w:val="18"/>
        </w:rPr>
        <w:t>EdFund</w:t>
      </w:r>
      <w:r w:rsidRPr="00314717">
        <w:rPr>
          <w:rFonts w:ascii="Noto Sans" w:eastAsia="Times New Roman" w:hAnsi="Noto Sans" w:cs="Noto Sans"/>
          <w:b/>
          <w:bCs/>
          <w:sz w:val="18"/>
          <w:szCs w:val="18"/>
        </w:rPr>
        <w:t xml:space="preserve"> logo, add your organization’s branding alongside it, or replace it entirely when sharing this resource. Our goal is to make these materials as useful as possible for advancing evidence-based school finance policy.</w:t>
      </w:r>
    </w:p>
    <w:p w14:paraId="2BFAF5B6" w14:textId="77777777" w:rsidR="0089474F" w:rsidRDefault="0089474F" w:rsidP="0089474F">
      <w:pPr>
        <w:rPr>
          <w:rFonts w:ascii="Noto Sans Kannada" w:eastAsia="Times New Roman" w:hAnsi="Noto Sans Kannada" w:cs="Noto Sans Kannada"/>
          <w:b/>
          <w:bCs/>
        </w:rPr>
      </w:pPr>
    </w:p>
    <w:p w14:paraId="2646974F" w14:textId="57FD6D65" w:rsidR="0089474F" w:rsidRDefault="0089474F" w:rsidP="0089474F">
      <w:pPr>
        <w:rPr>
          <w:rFonts w:ascii="Noto Sans Kannada" w:eastAsia="Times New Roman" w:hAnsi="Noto Sans Kannada" w:cs="Noto Sans Kannada"/>
          <w:b/>
          <w:bCs/>
        </w:rPr>
      </w:pPr>
      <w:r>
        <w:rPr>
          <w:rFonts w:ascii="Noto Serif" w:eastAsia="Times New Roman" w:hAnsi="Noto Serif" w:cs="Noto Serif"/>
          <w:noProof/>
          <w:sz w:val="18"/>
          <w:szCs w:val="18"/>
        </w:rPr>
        <mc:AlternateContent>
          <mc:Choice Requires="wps">
            <w:drawing>
              <wp:anchor distT="0" distB="0" distL="114300" distR="114300" simplePos="0" relativeHeight="251659264" behindDoc="0" locked="0" layoutInCell="1" allowOverlap="1" wp14:anchorId="305A983B" wp14:editId="4ED773F0">
                <wp:simplePos x="0" y="0"/>
                <wp:positionH relativeFrom="margin">
                  <wp:align>center</wp:align>
                </wp:positionH>
                <wp:positionV relativeFrom="paragraph">
                  <wp:posOffset>0</wp:posOffset>
                </wp:positionV>
                <wp:extent cx="5588000" cy="0"/>
                <wp:effectExtent l="0" t="0" r="12700" b="12700"/>
                <wp:wrapNone/>
                <wp:docPr id="793574762" name="Straight Connector 1"/>
                <wp:cNvGraphicFramePr/>
                <a:graphic xmlns:a="http://schemas.openxmlformats.org/drawingml/2006/main">
                  <a:graphicData uri="http://schemas.microsoft.com/office/word/2010/wordprocessingShape">
                    <wps:wsp>
                      <wps:cNvCnPr/>
                      <wps:spPr>
                        <a:xfrm>
                          <a:off x="0" y="0"/>
                          <a:ext cx="5588000" cy="0"/>
                        </a:xfrm>
                        <a:prstGeom prst="line">
                          <a:avLst/>
                        </a:prstGeom>
                        <a:ln>
                          <a:solidFill>
                            <a:srgbClr val="FFAE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77367F"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0" to="4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" strokecolor="#ffae3f" strokeweight=".5pt">
                <v:stroke joinstyle="miter"/>
                <w10:wrap anchorx="margin"/>
              </v:line>
            </w:pict>
          </mc:Fallback>
        </mc:AlternateContent>
      </w:r>
    </w:p>
    <w:p w14:paraId="4F282CBA" w14:textId="1854FF0B" w:rsidR="0089474F" w:rsidRPr="0089474F" w:rsidRDefault="008F5E15" w:rsidP="0089474F">
      <w:pPr>
        <w:rPr>
          <w:rFonts w:ascii="Noto Sans" w:eastAsia="Times New Roman" w:hAnsi="Noto Sans" w:cs="Noto Sans"/>
          <w:b/>
          <w:bCs/>
          <w:color w:val="11698C"/>
          <w:sz w:val="32"/>
          <w:szCs w:val="32"/>
        </w:rPr>
      </w:pPr>
      <w:r>
        <w:rPr>
          <w:rFonts w:ascii="Noto Sans" w:eastAsia="Times New Roman" w:hAnsi="Noto Sans" w:cs="Noto Sans"/>
          <w:b/>
          <w:bCs/>
          <w:color w:val="11698C"/>
          <w:sz w:val="32"/>
          <w:szCs w:val="32"/>
        </w:rPr>
        <w:t>Special Education</w:t>
      </w:r>
    </w:p>
    <w:p w14:paraId="5348C704" w14:textId="77777777" w:rsidR="0089474F" w:rsidRPr="0089474F" w:rsidRDefault="0089474F" w:rsidP="0089474F">
      <w:pPr>
        <w:rPr>
          <w:rFonts w:ascii="Noto Sans" w:eastAsia="Times New Roman" w:hAnsi="Noto Sans" w:cs="Noto Sans"/>
        </w:rPr>
      </w:pPr>
    </w:p>
    <w:p w14:paraId="084DA0A4" w14:textId="3A8D56EC" w:rsidR="00583205" w:rsidRPr="0089474F" w:rsidRDefault="00583205" w:rsidP="005B2617">
      <w:pPr>
        <w:jc w:val="both"/>
        <w:rPr>
          <w:rFonts w:ascii="Noto Sans" w:eastAsia="Times New Roman" w:hAnsi="Noto Sans" w:cs="Noto Sans"/>
        </w:rPr>
      </w:pPr>
      <w:r w:rsidRPr="00583205">
        <w:rPr>
          <w:rFonts w:ascii="Noto Sans" w:eastAsia="Times New Roman" w:hAnsi="Noto Sans" w:cs="Noto Sans"/>
        </w:rPr>
        <w:t xml:space="preserve">States utilize diverse mechanisms to distribute </w:t>
      </w:r>
      <w:r w:rsidR="00042245">
        <w:rPr>
          <w:rFonts w:ascii="Noto Sans" w:eastAsia="Times New Roman" w:hAnsi="Noto Sans" w:cs="Noto Sans"/>
        </w:rPr>
        <w:t>funding to meet the needs of students identified as needing special education services. Because needs and programs vary significantly, states</w:t>
      </w:r>
      <w:r w:rsidR="005B2617">
        <w:rPr>
          <w:rFonts w:ascii="Noto Sans" w:eastAsia="Times New Roman" w:hAnsi="Noto Sans" w:cs="Noto Sans"/>
        </w:rPr>
        <w:t xml:space="preserve"> </w:t>
      </w:r>
      <w:r w:rsidRPr="00583205">
        <w:rPr>
          <w:rFonts w:ascii="Noto Sans" w:eastAsia="Times New Roman" w:hAnsi="Noto Sans" w:cs="Noto Sans"/>
        </w:rPr>
        <w:t>often employ multiple approaches simultaneously</w:t>
      </w:r>
      <w:r>
        <w:rPr>
          <w:rFonts w:ascii="Noto Sans" w:eastAsia="Times New Roman" w:hAnsi="Noto Sans" w:cs="Noto Sans"/>
        </w:rPr>
        <w:t xml:space="preserve">. </w:t>
      </w:r>
      <w:r w:rsidRPr="00583205">
        <w:rPr>
          <w:rFonts w:ascii="Noto Sans" w:eastAsia="Times New Roman" w:hAnsi="Noto Sans" w:cs="Noto Sans"/>
        </w:rPr>
        <w:t xml:space="preserve">The most common approach is weighted funding, where states apply multipliers to a base per-pupil amount, with some systems using multiple weights to </w:t>
      </w:r>
      <w:r w:rsidR="00042245">
        <w:rPr>
          <w:rFonts w:ascii="Noto Sans" w:eastAsia="Times New Roman" w:hAnsi="Noto Sans" w:cs="Noto Sans"/>
        </w:rPr>
        <w:t>attempt to approximate the varied costs of serving students based on</w:t>
      </w:r>
      <w:r w:rsidR="00042245" w:rsidRPr="00583205">
        <w:rPr>
          <w:rFonts w:ascii="Noto Sans" w:eastAsia="Times New Roman" w:hAnsi="Noto Sans" w:cs="Noto Sans"/>
        </w:rPr>
        <w:t xml:space="preserve"> </w:t>
      </w:r>
      <w:r w:rsidR="00042245">
        <w:rPr>
          <w:rFonts w:ascii="Noto Sans" w:eastAsia="Times New Roman" w:hAnsi="Noto Sans" w:cs="Noto Sans"/>
        </w:rPr>
        <w:t xml:space="preserve">their </w:t>
      </w:r>
      <w:r w:rsidRPr="00583205">
        <w:rPr>
          <w:rFonts w:ascii="Noto Sans" w:eastAsia="Times New Roman" w:hAnsi="Noto Sans" w:cs="Noto Sans"/>
        </w:rPr>
        <w:t xml:space="preserve">disability type, severity, or </w:t>
      </w:r>
      <w:r w:rsidR="00042245">
        <w:rPr>
          <w:rFonts w:ascii="Noto Sans" w:eastAsia="Times New Roman" w:hAnsi="Noto Sans" w:cs="Noto Sans"/>
        </w:rPr>
        <w:t xml:space="preserve">program </w:t>
      </w:r>
      <w:r w:rsidRPr="00583205">
        <w:rPr>
          <w:rFonts w:ascii="Noto Sans" w:eastAsia="Times New Roman" w:hAnsi="Noto Sans" w:cs="Noto Sans"/>
        </w:rPr>
        <w:t>placement</w:t>
      </w:r>
      <w:r w:rsidR="00042245">
        <w:rPr>
          <w:rFonts w:ascii="Noto Sans" w:eastAsia="Times New Roman" w:hAnsi="Noto Sans" w:cs="Noto Sans"/>
        </w:rPr>
        <w:t>. Some other states</w:t>
      </w:r>
      <w:r w:rsidRPr="00583205">
        <w:rPr>
          <w:rFonts w:ascii="Noto Sans" w:eastAsia="Times New Roman" w:hAnsi="Noto Sans" w:cs="Noto Sans"/>
        </w:rPr>
        <w:t xml:space="preserve"> </w:t>
      </w:r>
      <w:r w:rsidR="00042245">
        <w:rPr>
          <w:rFonts w:ascii="Noto Sans" w:eastAsia="Times New Roman" w:hAnsi="Noto Sans" w:cs="Noto Sans"/>
        </w:rPr>
        <w:t>use</w:t>
      </w:r>
      <w:r w:rsidRPr="00583205">
        <w:rPr>
          <w:rFonts w:ascii="Noto Sans" w:eastAsia="Times New Roman" w:hAnsi="Noto Sans" w:cs="Noto Sans"/>
        </w:rPr>
        <w:t xml:space="preserve"> a single flat weight for all students with an Individualized Education Program (IEP).</w:t>
      </w:r>
      <w:r>
        <w:rPr>
          <w:rFonts w:ascii="Noto Sans" w:eastAsia="Times New Roman" w:hAnsi="Noto Sans" w:cs="Noto Sans"/>
        </w:rPr>
        <w:t xml:space="preserve"> </w:t>
      </w:r>
      <w:r w:rsidR="00232561" w:rsidRPr="00232561">
        <w:rPr>
          <w:rFonts w:ascii="Noto Sans" w:eastAsia="Times New Roman" w:hAnsi="Noto Sans" w:cs="Noto Sans"/>
        </w:rPr>
        <w:t>Census-based funding allocates aid based on a district’s total student enrollment</w:t>
      </w:r>
      <w:r w:rsidR="00042245">
        <w:rPr>
          <w:rFonts w:ascii="Noto Sans" w:eastAsia="Times New Roman" w:hAnsi="Noto Sans" w:cs="Noto Sans"/>
        </w:rPr>
        <w:t>, assuming that all districts serve similar proportions of special education (SPED)</w:t>
      </w:r>
      <w:r w:rsidR="005B2617">
        <w:rPr>
          <w:rFonts w:ascii="Noto Sans" w:eastAsia="Times New Roman" w:hAnsi="Noto Sans" w:cs="Noto Sans"/>
        </w:rPr>
        <w:t>.</w:t>
      </w:r>
      <w:r w:rsidR="00232561" w:rsidRPr="00232561">
        <w:rPr>
          <w:rFonts w:ascii="Noto Sans" w:eastAsia="Times New Roman" w:hAnsi="Noto Sans" w:cs="Noto Sans"/>
        </w:rPr>
        <w:t xml:space="preserve"> </w:t>
      </w:r>
      <w:r w:rsidR="00042245">
        <w:rPr>
          <w:rFonts w:ascii="Noto Sans" w:eastAsia="Times New Roman" w:hAnsi="Noto Sans" w:cs="Noto Sans"/>
        </w:rPr>
        <w:t>Still others use r</w:t>
      </w:r>
      <w:r w:rsidR="00232561" w:rsidRPr="00232561">
        <w:rPr>
          <w:rFonts w:ascii="Noto Sans" w:eastAsia="Times New Roman" w:hAnsi="Noto Sans" w:cs="Noto Sans"/>
        </w:rPr>
        <w:t xml:space="preserve">eimbursement models </w:t>
      </w:r>
      <w:r w:rsidR="00042245">
        <w:rPr>
          <w:rFonts w:ascii="Noto Sans" w:eastAsia="Times New Roman" w:hAnsi="Noto Sans" w:cs="Noto Sans"/>
        </w:rPr>
        <w:t xml:space="preserve">that </w:t>
      </w:r>
      <w:r w:rsidR="00232561" w:rsidRPr="00232561">
        <w:rPr>
          <w:rFonts w:ascii="Noto Sans" w:eastAsia="Times New Roman" w:hAnsi="Noto Sans" w:cs="Noto Sans"/>
        </w:rPr>
        <w:t>provide districts a percentage of their actual expenditures, while resource-allocation models fund specific staff positions based on established student-to-teacher ratios</w:t>
      </w:r>
      <w:r w:rsidR="00232561">
        <w:rPr>
          <w:rFonts w:ascii="Noto Sans" w:eastAsia="Times New Roman" w:hAnsi="Noto Sans" w:cs="Noto Sans"/>
        </w:rPr>
        <w:t>. Lastly</w:t>
      </w:r>
      <w:r w:rsidR="00232561" w:rsidRPr="00232561">
        <w:rPr>
          <w:rFonts w:ascii="Noto Sans" w:eastAsia="Times New Roman" w:hAnsi="Noto Sans" w:cs="Noto Sans"/>
        </w:rPr>
        <w:t>, supplemental high-cost funding helps districts offset the extraordinary expenses of serving students with the most complex needs</w:t>
      </w:r>
      <w:r w:rsidR="00232561">
        <w:rPr>
          <w:rFonts w:ascii="Noto Sans" w:eastAsia="Times New Roman" w:hAnsi="Noto Sans" w:cs="Noto Sans"/>
        </w:rPr>
        <w:t>.</w:t>
      </w:r>
    </w:p>
    <w:p w14:paraId="2D6AB58B" w14:textId="77777777" w:rsidR="00583205" w:rsidRPr="0089474F" w:rsidRDefault="00583205" w:rsidP="00D0231F">
      <w:pPr>
        <w:rPr>
          <w:rFonts w:ascii="Noto Sans" w:eastAsia="Times New Roman" w:hAnsi="Noto Sans" w:cs="Noto Sans"/>
          <w:b/>
          <w:bCs/>
        </w:rPr>
      </w:pPr>
    </w:p>
    <w:p w14:paraId="3CEB6E4D" w14:textId="77777777" w:rsidR="0089474F" w:rsidRPr="0089474F" w:rsidRDefault="0089474F" w:rsidP="00D0231F">
      <w:pPr>
        <w:rPr>
          <w:rFonts w:ascii="Noto Sans" w:eastAsia="Times New Roman" w:hAnsi="Noto Sans" w:cs="Noto Sans"/>
          <w:b/>
          <w:bCs/>
          <w:color w:val="11698C"/>
        </w:rPr>
      </w:pPr>
      <w:r w:rsidRPr="0089474F">
        <w:rPr>
          <w:rFonts w:ascii="Noto Sans" w:eastAsia="Times New Roman" w:hAnsi="Noto Sans" w:cs="Noto Sans"/>
          <w:b/>
          <w:bCs/>
          <w:color w:val="11698C"/>
        </w:rPr>
        <w:t>What the Research Says</w:t>
      </w:r>
    </w:p>
    <w:p w14:paraId="482C20C5" w14:textId="5DA8B2DD" w:rsidR="00513786" w:rsidRDefault="006172D7" w:rsidP="005B2617">
      <w:pPr>
        <w:jc w:val="both"/>
        <w:rPr>
          <w:rFonts w:ascii="Noto Sans" w:eastAsia="Times New Roman" w:hAnsi="Noto Sans" w:cs="Noto Sans"/>
        </w:rPr>
      </w:pPr>
      <w:r w:rsidRPr="006172D7">
        <w:rPr>
          <w:rFonts w:ascii="Noto Sans" w:eastAsia="Times New Roman" w:hAnsi="Noto Sans" w:cs="Noto Sans"/>
        </w:rPr>
        <w:t>Research highlights how different special education funding structures and policy constraints directly influence student outcomes and identification patterns.</w:t>
      </w:r>
    </w:p>
    <w:p w14:paraId="1E1ABD20" w14:textId="77777777" w:rsidR="005B2617" w:rsidRPr="0089474F" w:rsidRDefault="005B2617" w:rsidP="00D0231F">
      <w:pPr>
        <w:rPr>
          <w:rFonts w:ascii="Noto Sans" w:eastAsia="Times New Roman" w:hAnsi="Noto Sans" w:cs="Noto Sans"/>
        </w:rPr>
      </w:pPr>
    </w:p>
    <w:p w14:paraId="7D145073" w14:textId="77777777" w:rsidR="000D192A" w:rsidRDefault="00A5007B" w:rsidP="005B2617">
      <w:pPr>
        <w:pStyle w:val="ListParagraph"/>
        <w:numPr>
          <w:ilvl w:val="0"/>
          <w:numId w:val="4"/>
        </w:numPr>
        <w:jc w:val="both"/>
        <w:rPr>
          <w:rFonts w:ascii="Noto Sans" w:eastAsia="Times New Roman" w:hAnsi="Noto Sans" w:cs="Noto Sans"/>
        </w:rPr>
      </w:pPr>
      <w:r w:rsidRPr="00D10A7C">
        <w:rPr>
          <w:rFonts w:ascii="Noto Sans" w:eastAsia="Times New Roman" w:hAnsi="Noto Sans" w:cs="Noto Sans"/>
          <w:b/>
          <w:bCs/>
          <w:color w:val="11698C"/>
        </w:rPr>
        <w:t>Impact of Enrollment Restrictions</w:t>
      </w:r>
      <w:r w:rsidR="0089474F" w:rsidRPr="00D10A7C">
        <w:rPr>
          <w:rFonts w:ascii="Noto Sans" w:eastAsia="Times New Roman" w:hAnsi="Noto Sans" w:cs="Noto Sans"/>
          <w:b/>
          <w:bCs/>
          <w:color w:val="11698C"/>
        </w:rPr>
        <w:t>:</w:t>
      </w:r>
      <w:r w:rsidR="0089474F" w:rsidRPr="00D10A7C">
        <w:rPr>
          <w:rFonts w:ascii="Noto Sans" w:eastAsia="Times New Roman" w:hAnsi="Noto Sans" w:cs="Noto Sans"/>
        </w:rPr>
        <w:t xml:space="preserve"> </w:t>
      </w:r>
      <w:r w:rsidRPr="00D10A7C">
        <w:rPr>
          <w:rFonts w:ascii="Noto Sans" w:eastAsia="Times New Roman" w:hAnsi="Noto Sans" w:cs="Noto Sans"/>
        </w:rPr>
        <w:t>Research into a Texas policy that capped special education enrollment at 8.5% found that losing access to services caused severe declines in long-run educational attainment. Students on the margin who were removed from special education experienced a 51.9 percentage point decrease in high school completion and a 37.9 percentage point decrease in college enrollment</w:t>
      </w:r>
      <w:r w:rsidR="00D10A7C" w:rsidRPr="00D10A7C">
        <w:rPr>
          <w:rFonts w:ascii="Noto Sans" w:eastAsia="Times New Roman" w:hAnsi="Noto Sans" w:cs="Noto Sans"/>
        </w:rPr>
        <w:t>, with the largest harms concentrated among low-income students, students of color, and those in fiscally constrained districts</w:t>
      </w:r>
      <w:r w:rsidRPr="00D10A7C">
        <w:rPr>
          <w:rFonts w:ascii="Noto Sans" w:eastAsia="Times New Roman" w:hAnsi="Noto Sans" w:cs="Noto Sans"/>
        </w:rPr>
        <w:t xml:space="preserve"> (Ballis &amp; Heath, 2021).</w:t>
      </w:r>
    </w:p>
    <w:p w14:paraId="0CB59CFC" w14:textId="29C6DD45" w:rsidR="00736D59" w:rsidRPr="000D192A" w:rsidRDefault="000D192A" w:rsidP="005B2617">
      <w:pPr>
        <w:pStyle w:val="ListParagraph"/>
        <w:numPr>
          <w:ilvl w:val="0"/>
          <w:numId w:val="4"/>
        </w:numPr>
        <w:jc w:val="both"/>
        <w:rPr>
          <w:rFonts w:ascii="Noto Sans" w:eastAsia="Times New Roman" w:hAnsi="Noto Sans" w:cs="Noto Sans"/>
        </w:rPr>
      </w:pPr>
      <w:r w:rsidRPr="000D192A">
        <w:rPr>
          <w:rFonts w:ascii="Noto Sans" w:eastAsia="Times New Roman" w:hAnsi="Noto Sans" w:cs="Noto Sans"/>
          <w:b/>
          <w:bCs/>
          <w:color w:val="11698C"/>
        </w:rPr>
        <w:lastRenderedPageBreak/>
        <w:t>Disproportionate Fiscal Burden</w:t>
      </w:r>
      <w:r w:rsidR="00736D59" w:rsidRPr="000D192A">
        <w:rPr>
          <w:rFonts w:ascii="Noto Sans" w:eastAsia="Times New Roman" w:hAnsi="Noto Sans" w:cs="Noto Sans"/>
          <w:b/>
          <w:bCs/>
          <w:color w:val="11698C"/>
        </w:rPr>
        <w:t>:</w:t>
      </w:r>
      <w:r w:rsidR="00736D59" w:rsidRPr="000D192A">
        <w:rPr>
          <w:rFonts w:ascii="Noto Sans" w:eastAsia="Times New Roman" w:hAnsi="Noto Sans" w:cs="Noto Sans"/>
        </w:rPr>
        <w:t xml:space="preserve"> </w:t>
      </w:r>
      <w:r w:rsidRPr="000D192A">
        <w:rPr>
          <w:rFonts w:ascii="Noto Sans" w:eastAsia="Times New Roman" w:hAnsi="Noto Sans" w:cs="Noto Sans"/>
        </w:rPr>
        <w:t>Analysis of Michigan’s funding system revealed that the state’s special education finance system places a disproportionate burden on low-wealth districts, which serve more students with disabilities but have fewer state and local resources to fund required services. As a result, these districts must divert larger shares of unrestricted general education funds to special education, deepening fiscal inequities across districts (Conlin &amp; Jalilevand, 2018).</w:t>
      </w:r>
    </w:p>
    <w:p w14:paraId="5B81D4F3" w14:textId="0E838CD0" w:rsidR="00B363C9" w:rsidRPr="005B2617" w:rsidRDefault="005B2617" w:rsidP="00D0231F">
      <w:pPr>
        <w:pStyle w:val="ListParagraph"/>
        <w:numPr>
          <w:ilvl w:val="0"/>
          <w:numId w:val="4"/>
        </w:numPr>
        <w:jc w:val="both"/>
        <w:rPr>
          <w:rFonts w:ascii="Noto Sans" w:eastAsia="Times New Roman" w:hAnsi="Noto Sans" w:cs="Noto Sans"/>
        </w:rPr>
      </w:pPr>
      <w:r w:rsidRPr="005B2617">
        <w:rPr>
          <w:rFonts w:ascii="Noto Sans" w:eastAsia="Times New Roman" w:hAnsi="Noto Sans" w:cs="Noto Sans"/>
          <w:b/>
          <w:bCs/>
          <w:color w:val="11698C"/>
        </w:rPr>
        <w:t>Rigid Caps, Unequal Impact:</w:t>
      </w:r>
      <w:r w:rsidRPr="005B2617">
        <w:rPr>
          <w:rFonts w:ascii="Noto Sans" w:eastAsia="Times New Roman" w:hAnsi="Noto Sans" w:cs="Noto Sans"/>
        </w:rPr>
        <w:t xml:space="preserve"> Research finds that North Carolina’s flat grant funding mechanism and arbitrary enrollment cap fail to account for actual student needs and drive systemic fiscal inequities between districts. Consequently, many districts must divert unrestricted local funding intended for all students to meet mandatory special education costs, resulting in a process of fiscal "encroachment" that is most severe for districts serving high-need students (</w:t>
      </w:r>
      <w:r w:rsidRPr="005B2617">
        <w:rPr>
          <w:rFonts w:ascii="Noto Sans" w:eastAsia="Times New Roman" w:hAnsi="Noto Sans" w:cs="Noto Sans"/>
          <w:color w:val="000000" w:themeColor="text1"/>
        </w:rPr>
        <w:t>Needham, 2023).</w:t>
      </w:r>
    </w:p>
    <w:p w14:paraId="7985581E" w14:textId="77777777" w:rsidR="00905A21" w:rsidRDefault="00905A21" w:rsidP="00D0231F">
      <w:pPr>
        <w:rPr>
          <w:rFonts w:ascii="Noto Sans" w:eastAsia="Times New Roman" w:hAnsi="Noto Sans" w:cs="Noto Sans"/>
        </w:rPr>
      </w:pPr>
    </w:p>
    <w:p w14:paraId="4B231259" w14:textId="65A3F158" w:rsidR="0089474F" w:rsidRPr="0089474F" w:rsidRDefault="0089474F" w:rsidP="00D0231F">
      <w:pPr>
        <w:rPr>
          <w:rFonts w:ascii="Noto Sans" w:eastAsia="Times New Roman" w:hAnsi="Noto Sans" w:cs="Noto Sans"/>
          <w:b/>
          <w:bCs/>
          <w:color w:val="11698C"/>
        </w:rPr>
      </w:pPr>
      <w:r w:rsidRPr="0089474F">
        <w:rPr>
          <w:rFonts w:ascii="Noto Sans" w:eastAsia="Times New Roman" w:hAnsi="Noto Sans" w:cs="Noto Sans"/>
          <w:b/>
          <w:bCs/>
          <w:color w:val="11698C"/>
        </w:rPr>
        <w:t xml:space="preserve">Recommendations for How to Fund </w:t>
      </w:r>
      <w:r w:rsidR="001A1FD0">
        <w:rPr>
          <w:rFonts w:ascii="Noto Sans" w:eastAsia="Times New Roman" w:hAnsi="Noto Sans" w:cs="Noto Sans"/>
          <w:b/>
          <w:bCs/>
          <w:color w:val="11698C"/>
        </w:rPr>
        <w:t>Special Education</w:t>
      </w:r>
    </w:p>
    <w:p w14:paraId="0E6781DF" w14:textId="487AF667" w:rsidR="007A65F1" w:rsidRDefault="007A65F1" w:rsidP="008635CF">
      <w:pPr>
        <w:jc w:val="both"/>
        <w:rPr>
          <w:rFonts w:ascii="Noto Sans" w:eastAsia="Times New Roman" w:hAnsi="Noto Sans" w:cs="Noto Sans"/>
        </w:rPr>
      </w:pPr>
      <w:r w:rsidRPr="00513786">
        <w:rPr>
          <w:rFonts w:ascii="Noto Sans" w:eastAsia="Times New Roman" w:hAnsi="Noto Sans" w:cs="Noto Sans"/>
        </w:rPr>
        <w:t>The research consensus</w:t>
      </w:r>
      <w:r>
        <w:rPr>
          <w:rFonts w:ascii="Noto Sans" w:eastAsia="Times New Roman" w:hAnsi="Noto Sans" w:cs="Noto Sans"/>
        </w:rPr>
        <w:t xml:space="preserve"> indicates</w:t>
      </w:r>
      <w:r w:rsidRPr="00513786">
        <w:rPr>
          <w:rFonts w:ascii="Noto Sans" w:eastAsia="Times New Roman" w:hAnsi="Noto Sans" w:cs="Noto Sans"/>
        </w:rPr>
        <w:t xml:space="preserve"> that state funding should support appropriate</w:t>
      </w:r>
      <w:r w:rsidR="000C5EAC">
        <w:rPr>
          <w:rFonts w:ascii="Noto Sans" w:eastAsia="Times New Roman" w:hAnsi="Noto Sans" w:cs="Noto Sans"/>
        </w:rPr>
        <w:t>,</w:t>
      </w:r>
      <w:r w:rsidRPr="00513786">
        <w:rPr>
          <w:rFonts w:ascii="Noto Sans" w:eastAsia="Times New Roman" w:hAnsi="Noto Sans" w:cs="Noto Sans"/>
        </w:rPr>
        <w:t xml:space="preserve"> needs-based identification</w:t>
      </w:r>
      <w:r w:rsidR="000C5EAC">
        <w:rPr>
          <w:rFonts w:ascii="Noto Sans" w:eastAsia="Times New Roman" w:hAnsi="Noto Sans" w:cs="Noto Sans"/>
        </w:rPr>
        <w:t xml:space="preserve"> </w:t>
      </w:r>
      <w:r w:rsidR="005B40C6">
        <w:rPr>
          <w:rFonts w:ascii="Noto Sans" w:eastAsia="Times New Roman" w:hAnsi="Noto Sans" w:cs="Noto Sans"/>
        </w:rPr>
        <w:t>with</w:t>
      </w:r>
      <w:r w:rsidRPr="00513786">
        <w:rPr>
          <w:rFonts w:ascii="Noto Sans" w:eastAsia="Times New Roman" w:hAnsi="Noto Sans" w:cs="Noto Sans"/>
        </w:rPr>
        <w:t xml:space="preserve"> weighted formulas that account for disability severity and district fiscal capacity as </w:t>
      </w:r>
      <w:r w:rsidR="005B40C6">
        <w:rPr>
          <w:rFonts w:ascii="Noto Sans" w:eastAsia="Times New Roman" w:hAnsi="Noto Sans" w:cs="Noto Sans"/>
        </w:rPr>
        <w:t xml:space="preserve">the </w:t>
      </w:r>
      <w:r w:rsidRPr="00513786">
        <w:rPr>
          <w:rFonts w:ascii="Noto Sans" w:eastAsia="Times New Roman" w:hAnsi="Noto Sans" w:cs="Noto Sans"/>
        </w:rPr>
        <w:t>most equitable and effective</w:t>
      </w:r>
      <w:r w:rsidR="005B40C6">
        <w:rPr>
          <w:rFonts w:ascii="Noto Sans" w:eastAsia="Times New Roman" w:hAnsi="Noto Sans" w:cs="Noto Sans"/>
        </w:rPr>
        <w:t xml:space="preserve"> approach</w:t>
      </w:r>
      <w:r w:rsidRPr="00513786">
        <w:rPr>
          <w:rFonts w:ascii="Noto Sans" w:eastAsia="Times New Roman" w:hAnsi="Noto Sans" w:cs="Noto Sans"/>
        </w:rPr>
        <w:t>.</w:t>
      </w:r>
    </w:p>
    <w:p w14:paraId="256D93F9" w14:textId="77777777" w:rsidR="0089474F" w:rsidRPr="0089474F" w:rsidRDefault="0089474F" w:rsidP="00D0231F">
      <w:pPr>
        <w:rPr>
          <w:rFonts w:ascii="Noto Sans" w:eastAsia="Times New Roman" w:hAnsi="Noto Sans" w:cs="Noto Sans"/>
          <w:color w:val="000000" w:themeColor="text1"/>
        </w:rPr>
      </w:pPr>
    </w:p>
    <w:p w14:paraId="5A9EB6B3" w14:textId="373CF61F" w:rsidR="00736D59" w:rsidRPr="006A1DF9" w:rsidRDefault="00886D3B" w:rsidP="000C5EAC">
      <w:pPr>
        <w:pStyle w:val="ListParagraph"/>
        <w:numPr>
          <w:ilvl w:val="0"/>
          <w:numId w:val="3"/>
        </w:numPr>
        <w:jc w:val="both"/>
        <w:rPr>
          <w:rFonts w:ascii="Noto Sans" w:eastAsia="Times New Roman" w:hAnsi="Noto Sans" w:cs="Noto Sans"/>
          <w:color w:val="000000" w:themeColor="text1"/>
        </w:rPr>
      </w:pPr>
      <w:r w:rsidRPr="006A1DF9">
        <w:rPr>
          <w:rFonts w:ascii="Noto Sans" w:eastAsia="Times New Roman" w:hAnsi="Noto Sans" w:cs="Noto Sans"/>
          <w:b/>
          <w:bCs/>
          <w:color w:val="11698C"/>
        </w:rPr>
        <w:t>Utilize Multiple Student Weights</w:t>
      </w:r>
      <w:r w:rsidR="00736D59" w:rsidRPr="006A1DF9">
        <w:rPr>
          <w:rFonts w:ascii="Noto Sans" w:eastAsia="Times New Roman" w:hAnsi="Noto Sans" w:cs="Noto Sans"/>
          <w:b/>
          <w:bCs/>
          <w:color w:val="11698C"/>
        </w:rPr>
        <w:t>:</w:t>
      </w:r>
      <w:r w:rsidRPr="006A1DF9">
        <w:rPr>
          <w:rFonts w:ascii="Noto Sans" w:eastAsia="Times New Roman" w:hAnsi="Noto Sans" w:cs="Noto Sans"/>
          <w:b/>
          <w:bCs/>
          <w:color w:val="11698C"/>
        </w:rPr>
        <w:t xml:space="preserve"> </w:t>
      </w:r>
      <w:r w:rsidRPr="006A1DF9">
        <w:rPr>
          <w:rFonts w:ascii="Noto Sans" w:eastAsia="Times New Roman" w:hAnsi="Noto Sans" w:cs="Noto Sans"/>
          <w:color w:val="000000" w:themeColor="text1"/>
        </w:rPr>
        <w:t>States should adopt funding formulas with multiple weights to better differentiate funding levels according to the actual intensity of services and student needs</w:t>
      </w:r>
      <w:r w:rsidR="006A1DF9" w:rsidRPr="006A1DF9">
        <w:rPr>
          <w:rFonts w:ascii="Noto Sans" w:eastAsia="Times New Roman" w:hAnsi="Noto Sans" w:cs="Noto Sans"/>
          <w:color w:val="000000" w:themeColor="text1"/>
        </w:rPr>
        <w:t>. This ensures that resources are allocated more precisely than flat grants or single-weight systems, which fail to account for the vast differences in costs between mild and severe disabilities</w:t>
      </w:r>
      <w:r w:rsidR="001918E9">
        <w:rPr>
          <w:rFonts w:ascii="Noto Sans" w:eastAsia="Times New Roman" w:hAnsi="Noto Sans" w:cs="Noto Sans"/>
          <w:color w:val="000000" w:themeColor="text1"/>
        </w:rPr>
        <w:t xml:space="preserve"> (Duncomb, </w:t>
      </w:r>
      <w:r w:rsidR="001918E9" w:rsidRPr="00232561">
        <w:rPr>
          <w:rFonts w:ascii="Noto Sans" w:eastAsia="Times New Roman" w:hAnsi="Noto Sans" w:cs="Noto Sans"/>
          <w:color w:val="000000" w:themeColor="text1"/>
        </w:rPr>
        <w:t>2025</w:t>
      </w:r>
      <w:r w:rsidR="00FE6ED5">
        <w:rPr>
          <w:rFonts w:ascii="Noto Sans" w:eastAsia="Times New Roman" w:hAnsi="Noto Sans" w:cs="Noto Sans"/>
          <w:color w:val="000000" w:themeColor="text1"/>
        </w:rPr>
        <w:t xml:space="preserve">; </w:t>
      </w:r>
      <w:r w:rsidR="00FE6ED5" w:rsidRPr="00232561">
        <w:rPr>
          <w:rFonts w:ascii="Noto Sans" w:eastAsia="Times New Roman" w:hAnsi="Noto Sans" w:cs="Noto Sans"/>
          <w:color w:val="000000" w:themeColor="text1"/>
        </w:rPr>
        <w:t>Kolbe,</w:t>
      </w:r>
      <w:r w:rsidR="00FE6ED5">
        <w:rPr>
          <w:rFonts w:ascii="Noto Sans" w:eastAsia="Times New Roman" w:hAnsi="Noto Sans" w:cs="Noto Sans"/>
          <w:color w:val="000000" w:themeColor="text1"/>
        </w:rPr>
        <w:t xml:space="preserve"> </w:t>
      </w:r>
      <w:r w:rsidR="00FE6ED5" w:rsidRPr="00232561">
        <w:rPr>
          <w:rFonts w:ascii="Noto Sans" w:eastAsia="Times New Roman" w:hAnsi="Noto Sans" w:cs="Noto Sans"/>
          <w:color w:val="000000" w:themeColor="text1"/>
        </w:rPr>
        <w:t>2021).</w:t>
      </w:r>
    </w:p>
    <w:p w14:paraId="15D3D848" w14:textId="79C11F18" w:rsidR="00736D59" w:rsidRPr="0089474F" w:rsidRDefault="00C11DC1" w:rsidP="000C5EAC">
      <w:pPr>
        <w:pStyle w:val="ListParagraph"/>
        <w:numPr>
          <w:ilvl w:val="0"/>
          <w:numId w:val="3"/>
        </w:numPr>
        <w:jc w:val="both"/>
        <w:rPr>
          <w:rFonts w:ascii="Noto Sans" w:eastAsia="Times New Roman" w:hAnsi="Noto Sans" w:cs="Noto Sans"/>
        </w:rPr>
      </w:pPr>
      <w:r>
        <w:rPr>
          <w:rFonts w:ascii="Noto Sans" w:eastAsia="Times New Roman" w:hAnsi="Noto Sans" w:cs="Noto Sans"/>
          <w:b/>
          <w:bCs/>
          <w:color w:val="11698C"/>
        </w:rPr>
        <w:t>Establish Robust High-Cost Supplemental Funds</w:t>
      </w:r>
      <w:r w:rsidR="00736D59" w:rsidRPr="0089474F">
        <w:rPr>
          <w:rFonts w:ascii="Noto Sans" w:eastAsia="Times New Roman" w:hAnsi="Noto Sans" w:cs="Noto Sans"/>
          <w:b/>
          <w:bCs/>
          <w:color w:val="11698C"/>
        </w:rPr>
        <w:t>:</w:t>
      </w:r>
      <w:r w:rsidR="00736D59" w:rsidRPr="0089474F">
        <w:rPr>
          <w:rFonts w:ascii="Noto Sans" w:eastAsia="Times New Roman" w:hAnsi="Noto Sans" w:cs="Noto Sans"/>
        </w:rPr>
        <w:t xml:space="preserve"> </w:t>
      </w:r>
      <w:r w:rsidRPr="00C11DC1">
        <w:rPr>
          <w:rFonts w:ascii="Noto Sans" w:eastAsia="Times New Roman" w:hAnsi="Noto Sans" w:cs="Noto Sans"/>
          <w:color w:val="000000" w:themeColor="text1"/>
        </w:rPr>
        <w:t>To prevent disproportionate financial pressure on small or lower-wealth districts, states should provide additional funding for students whose needs exceed a specific dollar threshold</w:t>
      </w:r>
      <w:r>
        <w:rPr>
          <w:rFonts w:ascii="Noto Sans" w:eastAsia="Times New Roman" w:hAnsi="Noto Sans" w:cs="Noto Sans"/>
          <w:color w:val="000000" w:themeColor="text1"/>
        </w:rPr>
        <w:t xml:space="preserve">. </w:t>
      </w:r>
      <w:r w:rsidRPr="00C11DC1">
        <w:rPr>
          <w:rFonts w:ascii="Noto Sans" w:eastAsia="Times New Roman" w:hAnsi="Noto Sans" w:cs="Noto Sans"/>
          <w:color w:val="000000" w:themeColor="text1"/>
        </w:rPr>
        <w:t>These "risk pools" help mitigate the financial impact of low-incidence, high-cost placements that primary formulas often fail to cover</w:t>
      </w:r>
      <w:r>
        <w:rPr>
          <w:rFonts w:ascii="Noto Sans" w:eastAsia="Times New Roman" w:hAnsi="Noto Sans" w:cs="Noto Sans"/>
          <w:color w:val="000000" w:themeColor="text1"/>
        </w:rPr>
        <w:t xml:space="preserve"> (</w:t>
      </w:r>
      <w:r w:rsidRPr="00232561">
        <w:rPr>
          <w:rFonts w:ascii="Noto Sans" w:eastAsia="Times New Roman" w:hAnsi="Noto Sans" w:cs="Noto Sans"/>
          <w:color w:val="000000" w:themeColor="text1"/>
        </w:rPr>
        <w:t xml:space="preserve">Kolbe, </w:t>
      </w:r>
      <w:r w:rsidR="0024736C">
        <w:rPr>
          <w:rFonts w:ascii="Noto Sans" w:eastAsia="Times New Roman" w:hAnsi="Noto Sans" w:cs="Noto Sans"/>
          <w:color w:val="000000" w:themeColor="text1"/>
        </w:rPr>
        <w:t xml:space="preserve">2019, </w:t>
      </w:r>
      <w:r w:rsidRPr="00232561">
        <w:rPr>
          <w:rFonts w:ascii="Noto Sans" w:eastAsia="Times New Roman" w:hAnsi="Noto Sans" w:cs="Noto Sans"/>
          <w:color w:val="000000" w:themeColor="text1"/>
        </w:rPr>
        <w:t xml:space="preserve">2021). </w:t>
      </w:r>
      <w:r>
        <w:rPr>
          <w:rFonts w:ascii="Noto Sans" w:eastAsia="Times New Roman" w:hAnsi="Noto Sans" w:cs="Noto Sans"/>
          <w:color w:val="000000" w:themeColor="text1"/>
        </w:rPr>
        <w:t xml:space="preserve"> </w:t>
      </w:r>
    </w:p>
    <w:p w14:paraId="53EF13EF" w14:textId="43E1F8D7" w:rsidR="00782666" w:rsidRPr="0072689B" w:rsidRDefault="00782666" w:rsidP="000C5EAC">
      <w:pPr>
        <w:pStyle w:val="ListParagraph"/>
        <w:numPr>
          <w:ilvl w:val="0"/>
          <w:numId w:val="3"/>
        </w:numPr>
        <w:jc w:val="both"/>
        <w:rPr>
          <w:rFonts w:ascii="Noto Sans" w:eastAsia="Times New Roman" w:hAnsi="Noto Sans" w:cs="Noto Sans"/>
        </w:rPr>
      </w:pPr>
      <w:r>
        <w:rPr>
          <w:rFonts w:ascii="Noto Sans" w:eastAsia="Times New Roman" w:hAnsi="Noto Sans" w:cs="Noto Sans"/>
          <w:b/>
          <w:bCs/>
          <w:color w:val="11698C"/>
        </w:rPr>
        <w:t>Equalize Funding Based on Local Wealth</w:t>
      </w:r>
      <w:r w:rsidR="00736D59" w:rsidRPr="0089474F">
        <w:rPr>
          <w:rFonts w:ascii="Noto Sans" w:eastAsia="Times New Roman" w:hAnsi="Noto Sans" w:cs="Noto Sans"/>
          <w:b/>
          <w:bCs/>
          <w:color w:val="11698C"/>
        </w:rPr>
        <w:t>:</w:t>
      </w:r>
      <w:r w:rsidR="00736D59" w:rsidRPr="0089474F">
        <w:rPr>
          <w:rFonts w:ascii="Noto Sans" w:eastAsia="Times New Roman" w:hAnsi="Noto Sans" w:cs="Noto Sans"/>
        </w:rPr>
        <w:t xml:space="preserve"> </w:t>
      </w:r>
      <w:r w:rsidRPr="00782666">
        <w:rPr>
          <w:rFonts w:ascii="Noto Sans" w:eastAsia="Times New Roman" w:hAnsi="Noto Sans" w:cs="Noto Sans"/>
          <w:color w:val="000000" w:themeColor="text1"/>
        </w:rPr>
        <w:t xml:space="preserve">State special education aid should be adjusted for local tax capacity to ensure that </w:t>
      </w:r>
      <w:r w:rsidR="00E32FE3">
        <w:rPr>
          <w:rFonts w:ascii="Noto Sans" w:eastAsia="Times New Roman" w:hAnsi="Noto Sans" w:cs="Noto Sans"/>
          <w:color w:val="000000" w:themeColor="text1"/>
        </w:rPr>
        <w:t>low-wealth</w:t>
      </w:r>
      <w:r w:rsidRPr="00782666">
        <w:rPr>
          <w:rFonts w:ascii="Noto Sans" w:eastAsia="Times New Roman" w:hAnsi="Noto Sans" w:cs="Noto Sans"/>
          <w:color w:val="000000" w:themeColor="text1"/>
        </w:rPr>
        <w:t xml:space="preserve"> districts are not unfairly burdened by the "excess costs" of special education</w:t>
      </w:r>
      <w:r w:rsidR="0072689B">
        <w:rPr>
          <w:rFonts w:ascii="Noto Sans" w:eastAsia="Times New Roman" w:hAnsi="Noto Sans" w:cs="Noto Sans"/>
          <w:color w:val="000000" w:themeColor="text1"/>
        </w:rPr>
        <w:t xml:space="preserve">. </w:t>
      </w:r>
      <w:r>
        <w:rPr>
          <w:rFonts w:ascii="Noto Sans" w:eastAsia="Times New Roman" w:hAnsi="Noto Sans" w:cs="Noto Sans"/>
          <w:color w:val="000000" w:themeColor="text1"/>
        </w:rPr>
        <w:t xml:space="preserve"> </w:t>
      </w:r>
      <w:r w:rsidR="0072689B" w:rsidRPr="0072689B">
        <w:rPr>
          <w:rFonts w:ascii="Noto Sans" w:eastAsia="Times New Roman" w:hAnsi="Noto Sans" w:cs="Noto Sans"/>
          <w:color w:val="000000" w:themeColor="text1"/>
        </w:rPr>
        <w:t>Without explicit equalization, S</w:t>
      </w:r>
      <w:r w:rsidR="0072689B">
        <w:rPr>
          <w:rFonts w:ascii="Noto Sans" w:eastAsia="Times New Roman" w:hAnsi="Noto Sans" w:cs="Noto Sans"/>
          <w:color w:val="000000" w:themeColor="text1"/>
        </w:rPr>
        <w:t>PED</w:t>
      </w:r>
      <w:r w:rsidR="0072689B" w:rsidRPr="0072689B">
        <w:rPr>
          <w:rFonts w:ascii="Noto Sans" w:eastAsia="Times New Roman" w:hAnsi="Noto Sans" w:cs="Noto Sans"/>
          <w:color w:val="000000" w:themeColor="text1"/>
        </w:rPr>
        <w:t xml:space="preserve"> funding remains dependent on local property wealth, which reinforces systemic resource disparities between </w:t>
      </w:r>
      <w:r w:rsidR="0072689B">
        <w:rPr>
          <w:rFonts w:ascii="Noto Sans" w:eastAsia="Times New Roman" w:hAnsi="Noto Sans" w:cs="Noto Sans"/>
          <w:color w:val="000000" w:themeColor="text1"/>
        </w:rPr>
        <w:t xml:space="preserve">high and low </w:t>
      </w:r>
      <w:r w:rsidR="0072689B" w:rsidRPr="0072689B">
        <w:rPr>
          <w:rFonts w:ascii="Noto Sans" w:eastAsia="Times New Roman" w:hAnsi="Noto Sans" w:cs="Noto Sans"/>
          <w:color w:val="000000" w:themeColor="text1"/>
        </w:rPr>
        <w:t>wealt</w:t>
      </w:r>
      <w:r w:rsidR="0072689B">
        <w:rPr>
          <w:rFonts w:ascii="Noto Sans" w:eastAsia="Times New Roman" w:hAnsi="Noto Sans" w:cs="Noto Sans"/>
          <w:color w:val="000000" w:themeColor="text1"/>
        </w:rPr>
        <w:t xml:space="preserve">h </w:t>
      </w:r>
      <w:r w:rsidR="0072689B" w:rsidRPr="0072689B">
        <w:rPr>
          <w:rFonts w:ascii="Noto Sans" w:eastAsia="Times New Roman" w:hAnsi="Noto Sans" w:cs="Noto Sans"/>
          <w:color w:val="000000" w:themeColor="text1"/>
        </w:rPr>
        <w:t>communities</w:t>
      </w:r>
      <w:r w:rsidR="0072689B">
        <w:rPr>
          <w:rFonts w:ascii="Noto Sans" w:eastAsia="Times New Roman" w:hAnsi="Noto Sans" w:cs="Noto Sans"/>
          <w:color w:val="000000" w:themeColor="text1"/>
        </w:rPr>
        <w:t xml:space="preserve"> </w:t>
      </w:r>
      <w:r w:rsidRPr="0072689B">
        <w:rPr>
          <w:rFonts w:ascii="Noto Sans" w:eastAsia="Times New Roman" w:hAnsi="Noto Sans" w:cs="Noto Sans"/>
          <w:color w:val="000000" w:themeColor="text1"/>
        </w:rPr>
        <w:t>(Conlin &amp; Jalilevand, 2018</w:t>
      </w:r>
      <w:r w:rsidR="00D16354">
        <w:rPr>
          <w:rFonts w:ascii="Noto Sans" w:eastAsia="Times New Roman" w:hAnsi="Noto Sans" w:cs="Noto Sans"/>
          <w:color w:val="000000" w:themeColor="text1"/>
        </w:rPr>
        <w:t xml:space="preserve">; </w:t>
      </w:r>
      <w:r w:rsidR="00D16354" w:rsidRPr="00232561">
        <w:rPr>
          <w:rFonts w:ascii="Noto Sans" w:eastAsia="Times New Roman" w:hAnsi="Noto Sans" w:cs="Noto Sans"/>
          <w:color w:val="000000" w:themeColor="text1"/>
        </w:rPr>
        <w:t>Kolbe, 2021</w:t>
      </w:r>
      <w:r w:rsidRPr="0072689B">
        <w:rPr>
          <w:rFonts w:ascii="Noto Sans" w:eastAsia="Times New Roman" w:hAnsi="Noto Sans" w:cs="Noto Sans"/>
          <w:color w:val="000000" w:themeColor="text1"/>
        </w:rPr>
        <w:t>).</w:t>
      </w:r>
    </w:p>
    <w:p w14:paraId="7FB2DF77" w14:textId="77777777" w:rsidR="00782666" w:rsidRPr="0089474F" w:rsidRDefault="00782666" w:rsidP="00D0231F">
      <w:pPr>
        <w:rPr>
          <w:rFonts w:ascii="Noto Sans" w:eastAsia="Times New Roman" w:hAnsi="Noto Sans" w:cs="Noto Sans"/>
          <w:b/>
          <w:bCs/>
          <w:color w:val="000000" w:themeColor="text1"/>
        </w:rPr>
      </w:pPr>
    </w:p>
    <w:p w14:paraId="4892D981" w14:textId="77777777" w:rsidR="0089474F" w:rsidRPr="0089474F" w:rsidRDefault="0089474F" w:rsidP="00D0231F">
      <w:pPr>
        <w:rPr>
          <w:rFonts w:ascii="Noto Sans" w:eastAsia="Times New Roman" w:hAnsi="Noto Sans" w:cs="Noto Sans"/>
          <w:b/>
          <w:bCs/>
          <w:color w:val="000000" w:themeColor="text1"/>
        </w:rPr>
      </w:pPr>
      <w:r w:rsidRPr="0089474F">
        <w:rPr>
          <w:rFonts w:ascii="Noto Sans" w:eastAsia="Times New Roman" w:hAnsi="Noto Sans" w:cs="Noto Sans"/>
          <w:b/>
          <w:bCs/>
          <w:color w:val="11698C"/>
        </w:rPr>
        <w:lastRenderedPageBreak/>
        <w:t>Conclusion</w:t>
      </w:r>
    </w:p>
    <w:p w14:paraId="4F4A4F65" w14:textId="47C03032" w:rsidR="00232561" w:rsidRPr="00EB0CF3" w:rsidRDefault="00EB0CF3" w:rsidP="000C5EAC">
      <w:pPr>
        <w:jc w:val="both"/>
        <w:rPr>
          <w:rFonts w:ascii="Noto Sans" w:eastAsia="Times New Roman" w:hAnsi="Noto Sans" w:cs="Noto Sans"/>
          <w:color w:val="000000" w:themeColor="text1"/>
        </w:rPr>
      </w:pPr>
      <w:r w:rsidRPr="00EB0CF3">
        <w:rPr>
          <w:rFonts w:ascii="Noto Sans" w:eastAsia="Times New Roman" w:hAnsi="Noto Sans" w:cs="Noto Sans"/>
          <w:color w:val="000000" w:themeColor="text1"/>
        </w:rPr>
        <w:t xml:space="preserve">Effective special education funding </w:t>
      </w:r>
      <w:r>
        <w:rPr>
          <w:rFonts w:ascii="Noto Sans" w:eastAsia="Times New Roman" w:hAnsi="Noto Sans" w:cs="Noto Sans"/>
          <w:color w:val="000000" w:themeColor="text1"/>
        </w:rPr>
        <w:t>should</w:t>
      </w:r>
      <w:r w:rsidRPr="00EB0CF3">
        <w:rPr>
          <w:rFonts w:ascii="Noto Sans" w:eastAsia="Times New Roman" w:hAnsi="Noto Sans" w:cs="Noto Sans"/>
          <w:color w:val="000000" w:themeColor="text1"/>
        </w:rPr>
        <w:t xml:space="preserve"> move beyond simple per-pupil grants to more sophisticated, cost-based models that account for varying student needs and local district wealth</w:t>
      </w:r>
      <w:r>
        <w:rPr>
          <w:rFonts w:ascii="Noto Sans" w:eastAsia="Times New Roman" w:hAnsi="Noto Sans" w:cs="Noto Sans"/>
          <w:color w:val="000000" w:themeColor="text1"/>
        </w:rPr>
        <w:t xml:space="preserve">. </w:t>
      </w:r>
      <w:r w:rsidRPr="00EB0CF3">
        <w:rPr>
          <w:rFonts w:ascii="Noto Sans" w:eastAsia="Times New Roman" w:hAnsi="Noto Sans" w:cs="Noto Sans"/>
          <w:color w:val="000000" w:themeColor="text1"/>
        </w:rPr>
        <w:t>Aligning fiscal incentives with long-term student attainment is essential to ensuring that all students with disabilities receive the free and appropriate public education guaranteed by law</w:t>
      </w:r>
      <w:r>
        <w:rPr>
          <w:rFonts w:ascii="Noto Sans" w:eastAsia="Times New Roman" w:hAnsi="Noto Sans" w:cs="Noto Sans"/>
          <w:color w:val="000000" w:themeColor="text1"/>
        </w:rPr>
        <w:t>.</w:t>
      </w:r>
    </w:p>
    <w:p w14:paraId="66864418" w14:textId="77777777" w:rsidR="00282A15" w:rsidRDefault="00282A15" w:rsidP="00D0231F">
      <w:pPr>
        <w:rPr>
          <w:rFonts w:ascii="Noto Sans" w:eastAsia="Times New Roman" w:hAnsi="Noto Sans" w:cs="Noto Sans"/>
          <w:b/>
          <w:bCs/>
          <w:color w:val="11698C"/>
        </w:rPr>
      </w:pPr>
    </w:p>
    <w:p w14:paraId="0A85B30D" w14:textId="77777777" w:rsidR="00EB0CF3" w:rsidRDefault="00EB0CF3" w:rsidP="00D0231F">
      <w:pPr>
        <w:rPr>
          <w:rFonts w:ascii="Noto Sans" w:eastAsia="Times New Roman" w:hAnsi="Noto Sans" w:cs="Noto Sans"/>
          <w:b/>
          <w:bCs/>
          <w:color w:val="11698C"/>
        </w:rPr>
      </w:pPr>
    </w:p>
    <w:p w14:paraId="4C948823" w14:textId="52921FFA" w:rsidR="0089474F" w:rsidRPr="0089474F" w:rsidRDefault="0089474F" w:rsidP="00D0231F">
      <w:pPr>
        <w:rPr>
          <w:rFonts w:ascii="Noto Sans" w:eastAsia="Times New Roman" w:hAnsi="Noto Sans" w:cs="Noto Sans"/>
          <w:b/>
          <w:bCs/>
          <w:color w:val="11698C"/>
        </w:rPr>
      </w:pPr>
      <w:r w:rsidRPr="0089474F">
        <w:rPr>
          <w:rFonts w:ascii="Noto Sans" w:eastAsia="Times New Roman" w:hAnsi="Noto Sans" w:cs="Noto Sans"/>
          <w:b/>
          <w:bCs/>
          <w:color w:val="11698C"/>
        </w:rPr>
        <w:t>References</w:t>
      </w:r>
    </w:p>
    <w:p w14:paraId="5ADF31D0" w14:textId="77777777" w:rsidR="00351B26" w:rsidRDefault="00A5007B" w:rsidP="00D0231F">
      <w:pPr>
        <w:rPr>
          <w:rFonts w:ascii="Noto Sans" w:eastAsia="Times New Roman" w:hAnsi="Noto Sans" w:cs="Noto Sans"/>
          <w:color w:val="000000" w:themeColor="text1"/>
        </w:rPr>
      </w:pPr>
      <w:r w:rsidRPr="00A5007B">
        <w:rPr>
          <w:rFonts w:ascii="Noto Sans" w:eastAsia="Times New Roman" w:hAnsi="Noto Sans" w:cs="Noto Sans"/>
          <w:color w:val="000000" w:themeColor="text1"/>
        </w:rPr>
        <w:t>Ballis, B., &amp; Heath, A. (2021). Incentivizing special education: Evidence from Texas</w:t>
      </w:r>
    </w:p>
    <w:p w14:paraId="0598E706" w14:textId="763142DE" w:rsidR="00A5007B" w:rsidRDefault="00A5007B" w:rsidP="00D0231F">
      <w:pPr>
        <w:ind w:firstLine="720"/>
        <w:rPr>
          <w:rFonts w:ascii="Noto Sans" w:eastAsia="Times New Roman" w:hAnsi="Noto Sans" w:cs="Noto Sans"/>
          <w:color w:val="000000" w:themeColor="text1"/>
        </w:rPr>
      </w:pPr>
      <w:r w:rsidRPr="00A5007B">
        <w:rPr>
          <w:rFonts w:ascii="Noto Sans" w:eastAsia="Times New Roman" w:hAnsi="Noto Sans" w:cs="Noto Sans"/>
          <w:color w:val="000000" w:themeColor="text1"/>
        </w:rPr>
        <w:t xml:space="preserve">schools. </w:t>
      </w:r>
      <w:r w:rsidRPr="00A5007B">
        <w:rPr>
          <w:rFonts w:ascii="Noto Sans" w:eastAsia="Times New Roman" w:hAnsi="Noto Sans" w:cs="Noto Sans"/>
          <w:i/>
          <w:iCs/>
          <w:color w:val="000000" w:themeColor="text1"/>
        </w:rPr>
        <w:t>American Economic Journal: Economic Policy, 13</w:t>
      </w:r>
      <w:r w:rsidRPr="00A5007B">
        <w:rPr>
          <w:rFonts w:ascii="Noto Sans" w:eastAsia="Times New Roman" w:hAnsi="Noto Sans" w:cs="Noto Sans"/>
          <w:color w:val="000000" w:themeColor="text1"/>
        </w:rPr>
        <w:t>(3), 203–234.</w:t>
      </w:r>
    </w:p>
    <w:p w14:paraId="165A69E6" w14:textId="77777777" w:rsidR="00782666" w:rsidRDefault="00A5007B" w:rsidP="00D0231F">
      <w:pPr>
        <w:rPr>
          <w:rFonts w:ascii="Noto Sans" w:eastAsia="Times New Roman" w:hAnsi="Noto Sans" w:cs="Noto Sans"/>
          <w:color w:val="000000" w:themeColor="text1"/>
        </w:rPr>
      </w:pPr>
      <w:r w:rsidRPr="00A5007B">
        <w:rPr>
          <w:rFonts w:ascii="Noto Sans" w:eastAsia="Times New Roman" w:hAnsi="Noto Sans" w:cs="Noto Sans"/>
          <w:color w:val="000000" w:themeColor="text1"/>
        </w:rPr>
        <w:t>Conlin, M. &amp; Jalilevand, M. (2018). Equity and unrestricted funds in special</w:t>
      </w:r>
    </w:p>
    <w:p w14:paraId="448EDBCE" w14:textId="317FFEB0" w:rsidR="00A5007B" w:rsidRDefault="00A5007B" w:rsidP="00D0231F">
      <w:pPr>
        <w:ind w:firstLine="720"/>
        <w:rPr>
          <w:rFonts w:ascii="Noto Sans" w:eastAsia="Times New Roman" w:hAnsi="Noto Sans" w:cs="Noto Sans"/>
          <w:color w:val="000000" w:themeColor="text1"/>
        </w:rPr>
      </w:pPr>
      <w:r w:rsidRPr="00A5007B">
        <w:rPr>
          <w:rFonts w:ascii="Noto Sans" w:eastAsia="Times New Roman" w:hAnsi="Noto Sans" w:cs="Noto Sans"/>
          <w:color w:val="000000" w:themeColor="text1"/>
        </w:rPr>
        <w:t xml:space="preserve">education. </w:t>
      </w:r>
      <w:r w:rsidRPr="00A5007B">
        <w:rPr>
          <w:rFonts w:ascii="Noto Sans" w:eastAsia="Times New Roman" w:hAnsi="Noto Sans" w:cs="Noto Sans"/>
          <w:i/>
          <w:iCs/>
          <w:color w:val="000000" w:themeColor="text1"/>
        </w:rPr>
        <w:t>Journal of Education Finance, 44</w:t>
      </w:r>
      <w:r w:rsidRPr="00A5007B">
        <w:rPr>
          <w:rFonts w:ascii="Noto Sans" w:eastAsia="Times New Roman" w:hAnsi="Noto Sans" w:cs="Noto Sans"/>
          <w:color w:val="000000" w:themeColor="text1"/>
        </w:rPr>
        <w:t>(2), 218-234.</w:t>
      </w:r>
    </w:p>
    <w:p w14:paraId="2E4D38FA" w14:textId="77777777" w:rsidR="00C11DC1" w:rsidRDefault="00C11DC1" w:rsidP="00D0231F">
      <w:pPr>
        <w:rPr>
          <w:rFonts w:ascii="Noto Sans" w:eastAsia="Times New Roman" w:hAnsi="Noto Sans" w:cs="Noto Sans"/>
          <w:color w:val="000000" w:themeColor="text1"/>
        </w:rPr>
      </w:pPr>
      <w:r>
        <w:rPr>
          <w:rFonts w:ascii="Noto Sans" w:eastAsia="Times New Roman" w:hAnsi="Noto Sans" w:cs="Noto Sans"/>
          <w:color w:val="000000" w:themeColor="text1"/>
        </w:rPr>
        <w:t>Duncomb, C. (</w:t>
      </w:r>
      <w:r w:rsidR="00232561" w:rsidRPr="00232561">
        <w:rPr>
          <w:rFonts w:ascii="Noto Sans" w:eastAsia="Times New Roman" w:hAnsi="Noto Sans" w:cs="Noto Sans"/>
          <w:color w:val="000000" w:themeColor="text1"/>
        </w:rPr>
        <w:t>2025, September 24). Special education</w:t>
      </w:r>
      <w:r>
        <w:rPr>
          <w:rFonts w:ascii="Noto Sans" w:eastAsia="Times New Roman" w:hAnsi="Noto Sans" w:cs="Noto Sans"/>
          <w:color w:val="000000" w:themeColor="text1"/>
        </w:rPr>
        <w:t xml:space="preserve"> </w:t>
      </w:r>
      <w:r w:rsidR="00232561" w:rsidRPr="00232561">
        <w:rPr>
          <w:rFonts w:ascii="Noto Sans" w:eastAsia="Times New Roman" w:hAnsi="Noto Sans" w:cs="Noto Sans"/>
          <w:color w:val="000000" w:themeColor="text1"/>
        </w:rPr>
        <w:t>funding (State information</w:t>
      </w:r>
    </w:p>
    <w:p w14:paraId="34F4B84F" w14:textId="6FFBEA02" w:rsidR="00232561" w:rsidRPr="00232561" w:rsidRDefault="00232561" w:rsidP="00D0231F">
      <w:pPr>
        <w:ind w:left="720"/>
        <w:rPr>
          <w:rFonts w:ascii="Noto Sans" w:eastAsia="Times New Roman" w:hAnsi="Noto Sans" w:cs="Noto Sans"/>
          <w:color w:val="000000" w:themeColor="text1"/>
        </w:rPr>
      </w:pPr>
      <w:r w:rsidRPr="00232561">
        <w:rPr>
          <w:rFonts w:ascii="Noto Sans" w:eastAsia="Times New Roman" w:hAnsi="Noto Sans" w:cs="Noto Sans"/>
          <w:color w:val="000000" w:themeColor="text1"/>
        </w:rPr>
        <w:t xml:space="preserve">request). </w:t>
      </w:r>
      <w:r w:rsidR="00C11DC1" w:rsidRPr="00232561">
        <w:rPr>
          <w:rFonts w:ascii="Noto Sans" w:eastAsia="Times New Roman" w:hAnsi="Noto Sans" w:cs="Noto Sans"/>
          <w:color w:val="000000" w:themeColor="text1"/>
        </w:rPr>
        <w:t>Education Commission of the States. (</w:t>
      </w:r>
      <w:hyperlink r:id="rId7" w:history="1">
        <w:r w:rsidRPr="00416DA0">
          <w:rPr>
            <w:rStyle w:val="Hyperlink"/>
            <w:rFonts w:ascii="Noto Sans" w:eastAsia="Times New Roman" w:hAnsi="Noto Sans" w:cs="Noto Sans"/>
          </w:rPr>
          <w:t>https://www.ecs.org/wp-content/uploads/Special-Education-Funding-Sept.-2025.pdf</w:t>
        </w:r>
      </w:hyperlink>
      <w:r>
        <w:rPr>
          <w:rFonts w:ascii="Noto Sans" w:eastAsia="Times New Roman" w:hAnsi="Noto Sans" w:cs="Noto Sans"/>
          <w:color w:val="000000" w:themeColor="text1"/>
        </w:rPr>
        <w:t xml:space="preserve"> </w:t>
      </w:r>
      <w:r w:rsidRPr="00232561">
        <w:rPr>
          <w:rFonts w:ascii="Noto Sans" w:eastAsia="Times New Roman" w:hAnsi="Noto Sans" w:cs="Noto Sans"/>
          <w:color w:val="000000" w:themeColor="text1"/>
        </w:rPr>
        <w:t xml:space="preserve"> </w:t>
      </w:r>
    </w:p>
    <w:p w14:paraId="460B8E90" w14:textId="77777777" w:rsidR="00C11DC1" w:rsidRDefault="00C11DC1" w:rsidP="00D0231F">
      <w:pPr>
        <w:rPr>
          <w:rFonts w:ascii="Noto Sans" w:eastAsia="Times New Roman" w:hAnsi="Noto Sans" w:cs="Noto Sans"/>
          <w:color w:val="000000" w:themeColor="text1"/>
        </w:rPr>
      </w:pPr>
      <w:r>
        <w:rPr>
          <w:rFonts w:ascii="Noto Sans" w:eastAsia="Times New Roman" w:hAnsi="Noto Sans" w:cs="Noto Sans"/>
          <w:color w:val="000000" w:themeColor="text1"/>
        </w:rPr>
        <w:t xml:space="preserve">Duncomb, C. </w:t>
      </w:r>
      <w:r w:rsidR="00232561" w:rsidRPr="00232561">
        <w:rPr>
          <w:rFonts w:ascii="Noto Sans" w:eastAsia="Times New Roman" w:hAnsi="Noto Sans" w:cs="Noto Sans"/>
          <w:color w:val="000000" w:themeColor="text1"/>
        </w:rPr>
        <w:t>(2024, March 11). 50-state comparison: K-12</w:t>
      </w:r>
      <w:r>
        <w:rPr>
          <w:rFonts w:ascii="Noto Sans" w:eastAsia="Times New Roman" w:hAnsi="Noto Sans" w:cs="Noto Sans"/>
          <w:color w:val="000000" w:themeColor="text1"/>
        </w:rPr>
        <w:t xml:space="preserve"> </w:t>
      </w:r>
      <w:r w:rsidR="00232561" w:rsidRPr="00232561">
        <w:rPr>
          <w:rFonts w:ascii="Noto Sans" w:eastAsia="Times New Roman" w:hAnsi="Noto Sans" w:cs="Noto Sans"/>
          <w:color w:val="000000" w:themeColor="text1"/>
        </w:rPr>
        <w:t xml:space="preserve">funding. </w:t>
      </w:r>
      <w:r w:rsidRPr="00232561">
        <w:rPr>
          <w:rFonts w:ascii="Noto Sans" w:eastAsia="Times New Roman" w:hAnsi="Noto Sans" w:cs="Noto Sans"/>
          <w:color w:val="000000" w:themeColor="text1"/>
        </w:rPr>
        <w:t>Education</w:t>
      </w:r>
    </w:p>
    <w:p w14:paraId="5D9F488E" w14:textId="31F60431" w:rsidR="00232561" w:rsidRDefault="00C11DC1" w:rsidP="00D0231F">
      <w:pPr>
        <w:ind w:left="720"/>
        <w:rPr>
          <w:rFonts w:ascii="Noto Sans" w:eastAsia="Times New Roman" w:hAnsi="Noto Sans" w:cs="Noto Sans"/>
          <w:color w:val="000000" w:themeColor="text1"/>
        </w:rPr>
      </w:pPr>
      <w:r w:rsidRPr="00232561">
        <w:rPr>
          <w:rFonts w:ascii="Noto Sans" w:eastAsia="Times New Roman" w:hAnsi="Noto Sans" w:cs="Noto Sans"/>
          <w:color w:val="000000" w:themeColor="text1"/>
        </w:rPr>
        <w:t xml:space="preserve">Commission of the States. </w:t>
      </w:r>
      <w:hyperlink r:id="rId8" w:history="1">
        <w:r w:rsidR="00232561" w:rsidRPr="00416DA0">
          <w:rPr>
            <w:rStyle w:val="Hyperlink"/>
            <w:rFonts w:ascii="Noto Sans" w:eastAsia="Times New Roman" w:hAnsi="Noto Sans" w:cs="Noto Sans"/>
          </w:rPr>
          <w:t>https://reports.ecs.org/comparisons/k-12-funding-2024-04</w:t>
        </w:r>
      </w:hyperlink>
      <w:r w:rsidR="00232561">
        <w:rPr>
          <w:rFonts w:ascii="Noto Sans" w:eastAsia="Times New Roman" w:hAnsi="Noto Sans" w:cs="Noto Sans"/>
          <w:color w:val="000000" w:themeColor="text1"/>
        </w:rPr>
        <w:t xml:space="preserve"> </w:t>
      </w:r>
    </w:p>
    <w:p w14:paraId="1EB68709" w14:textId="77777777" w:rsidR="0024736C" w:rsidRDefault="0024736C" w:rsidP="00D0231F">
      <w:pPr>
        <w:rPr>
          <w:rFonts w:ascii="Noto Sans" w:eastAsia="Times New Roman" w:hAnsi="Noto Sans" w:cs="Noto Sans"/>
          <w:color w:val="000000" w:themeColor="text1"/>
        </w:rPr>
      </w:pPr>
      <w:r w:rsidRPr="0024736C">
        <w:rPr>
          <w:rFonts w:ascii="Noto Sans" w:eastAsia="Times New Roman" w:hAnsi="Noto Sans" w:cs="Noto Sans"/>
          <w:color w:val="000000" w:themeColor="text1"/>
        </w:rPr>
        <w:t>Kolbe, T. (2019). Funding special education: Charting a path that confronts</w:t>
      </w:r>
    </w:p>
    <w:p w14:paraId="62548160" w14:textId="220744E4" w:rsidR="0024736C" w:rsidRDefault="0024736C" w:rsidP="00D0231F">
      <w:pPr>
        <w:ind w:left="720"/>
        <w:rPr>
          <w:rFonts w:ascii="Noto Sans" w:eastAsia="Times New Roman" w:hAnsi="Noto Sans" w:cs="Noto Sans"/>
          <w:color w:val="000000" w:themeColor="text1"/>
        </w:rPr>
      </w:pPr>
      <w:r w:rsidRPr="0024736C">
        <w:rPr>
          <w:rFonts w:ascii="Noto Sans" w:eastAsia="Times New Roman" w:hAnsi="Noto Sans" w:cs="Noto Sans"/>
          <w:color w:val="000000" w:themeColor="text1"/>
        </w:rPr>
        <w:t xml:space="preserve">complexity and crafts coherence. National Education Policy Center. </w:t>
      </w:r>
      <w:hyperlink r:id="rId9" w:history="1">
        <w:r w:rsidRPr="00F22AEF">
          <w:rPr>
            <w:rStyle w:val="Hyperlink"/>
            <w:rFonts w:ascii="Noto Sans" w:eastAsia="Times New Roman" w:hAnsi="Noto Sans" w:cs="Noto Sans"/>
          </w:rPr>
          <w:t>https://nepc.colorado.edu/sites/default/files/publications/PB%20Kolbe</w:t>
        </w:r>
      </w:hyperlink>
      <w:r>
        <w:rPr>
          <w:rFonts w:ascii="Noto Sans" w:eastAsia="Times New Roman" w:hAnsi="Noto Sans" w:cs="Noto Sans"/>
          <w:color w:val="000000" w:themeColor="text1"/>
        </w:rPr>
        <w:t xml:space="preserve"> </w:t>
      </w:r>
    </w:p>
    <w:p w14:paraId="14D83E18" w14:textId="487597FC" w:rsidR="00351B26" w:rsidRDefault="00232561" w:rsidP="00D0231F">
      <w:pPr>
        <w:rPr>
          <w:rFonts w:ascii="Noto Sans" w:eastAsia="Times New Roman" w:hAnsi="Noto Sans" w:cs="Noto Sans"/>
          <w:color w:val="000000" w:themeColor="text1"/>
        </w:rPr>
      </w:pPr>
      <w:r w:rsidRPr="00232561">
        <w:rPr>
          <w:rFonts w:ascii="Noto Sans" w:eastAsia="Times New Roman" w:hAnsi="Noto Sans" w:cs="Noto Sans"/>
          <w:color w:val="000000" w:themeColor="text1"/>
        </w:rPr>
        <w:t>Kolbe, T. (2021). State funding for special education: Aligning policy with priorities.</w:t>
      </w:r>
    </w:p>
    <w:p w14:paraId="4E92F0AC" w14:textId="06F58ABE" w:rsidR="00232561" w:rsidRDefault="00232561" w:rsidP="00D0231F">
      <w:pPr>
        <w:ind w:firstLine="720"/>
        <w:rPr>
          <w:rFonts w:ascii="Noto Sans" w:eastAsia="Times New Roman" w:hAnsi="Noto Sans" w:cs="Noto Sans"/>
          <w:color w:val="000000" w:themeColor="text1"/>
        </w:rPr>
      </w:pPr>
      <w:r w:rsidRPr="00232561">
        <w:rPr>
          <w:rFonts w:ascii="Noto Sans" w:eastAsia="Times New Roman" w:hAnsi="Noto Sans" w:cs="Noto Sans"/>
          <w:i/>
          <w:iCs/>
          <w:color w:val="000000" w:themeColor="text1"/>
        </w:rPr>
        <w:t>Journal of Special Education Leadership, 34</w:t>
      </w:r>
      <w:r w:rsidRPr="00232561">
        <w:rPr>
          <w:rFonts w:ascii="Noto Sans" w:eastAsia="Times New Roman" w:hAnsi="Noto Sans" w:cs="Noto Sans"/>
          <w:color w:val="000000" w:themeColor="text1"/>
        </w:rPr>
        <w:t>(1), 19–31.</w:t>
      </w:r>
    </w:p>
    <w:p w14:paraId="0E23F840" w14:textId="77777777" w:rsidR="006114ED" w:rsidRDefault="006114ED" w:rsidP="00D0231F">
      <w:pPr>
        <w:rPr>
          <w:rFonts w:ascii="Noto Sans" w:eastAsia="Times New Roman" w:hAnsi="Noto Sans" w:cs="Noto Sans"/>
          <w:color w:val="000000" w:themeColor="text1"/>
        </w:rPr>
      </w:pPr>
      <w:r w:rsidRPr="006114ED">
        <w:rPr>
          <w:rFonts w:ascii="Noto Sans" w:eastAsia="Times New Roman" w:hAnsi="Noto Sans" w:cs="Noto Sans"/>
          <w:color w:val="000000" w:themeColor="text1"/>
        </w:rPr>
        <w:t>Needham, C. (2023). Equity and encroachment of special education funding in</w:t>
      </w:r>
    </w:p>
    <w:p w14:paraId="57A1FDD8" w14:textId="69E19527" w:rsidR="006114ED" w:rsidRDefault="006114ED" w:rsidP="00D0231F">
      <w:pPr>
        <w:ind w:firstLine="720"/>
        <w:rPr>
          <w:rFonts w:ascii="Noto Sans" w:eastAsia="Times New Roman" w:hAnsi="Noto Sans" w:cs="Noto Sans"/>
          <w:color w:val="000000" w:themeColor="text1"/>
        </w:rPr>
      </w:pPr>
      <w:r w:rsidRPr="006114ED">
        <w:rPr>
          <w:rFonts w:ascii="Noto Sans" w:eastAsia="Times New Roman" w:hAnsi="Noto Sans" w:cs="Noto Sans"/>
          <w:color w:val="000000" w:themeColor="text1"/>
        </w:rPr>
        <w:t xml:space="preserve">North Carolina. </w:t>
      </w:r>
      <w:r w:rsidRPr="006114ED">
        <w:rPr>
          <w:rFonts w:ascii="Noto Sans" w:eastAsia="Times New Roman" w:hAnsi="Noto Sans" w:cs="Noto Sans"/>
          <w:i/>
          <w:iCs/>
          <w:color w:val="000000" w:themeColor="text1"/>
        </w:rPr>
        <w:t>Journal of Education Finance, 49</w:t>
      </w:r>
      <w:r w:rsidRPr="006114ED">
        <w:rPr>
          <w:rFonts w:ascii="Noto Sans" w:eastAsia="Times New Roman" w:hAnsi="Noto Sans" w:cs="Noto Sans"/>
          <w:color w:val="000000" w:themeColor="text1"/>
        </w:rPr>
        <w:t>(1), 88–120.</w:t>
      </w:r>
    </w:p>
    <w:p w14:paraId="5CEDC63F" w14:textId="77777777" w:rsidR="00232561" w:rsidRPr="00C9415B" w:rsidRDefault="00232561" w:rsidP="00232561">
      <w:pPr>
        <w:rPr>
          <w:rFonts w:ascii="Noto Sans Kannada" w:eastAsia="Times New Roman" w:hAnsi="Noto Sans Kannada" w:cs="Noto Sans Kannada"/>
          <w:color w:val="000000" w:themeColor="text1"/>
        </w:rPr>
      </w:pPr>
    </w:p>
    <w:sectPr w:rsidR="00232561" w:rsidRPr="00C9415B" w:rsidSect="00964743">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EA92" w14:textId="77777777" w:rsidR="00F0100B" w:rsidRDefault="00F0100B" w:rsidP="00C9415B">
      <w:r>
        <w:separator/>
      </w:r>
    </w:p>
  </w:endnote>
  <w:endnote w:type="continuationSeparator" w:id="0">
    <w:p w14:paraId="00282C6F" w14:textId="77777777" w:rsidR="00F0100B" w:rsidRDefault="00F0100B" w:rsidP="00C9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Kannada">
    <w:panose1 w:val="020B0502040504020204"/>
    <w:charset w:val="00"/>
    <w:family w:val="swiss"/>
    <w:pitch w:val="variable"/>
    <w:sig w:usb0="80408003" w:usb1="00002042" w:usb2="00000000" w:usb3="00000000" w:csb0="00000001" w:csb1="00000000"/>
  </w:font>
  <w:font w:name="Noto Sans">
    <w:panose1 w:val="020B0502040504020204"/>
    <w:charset w:val="00"/>
    <w:family w:val="swiss"/>
    <w:pitch w:val="variable"/>
    <w:sig w:usb0="E00082FF" w:usb1="400078FF" w:usb2="08000029" w:usb3="00000000" w:csb0="0000019F" w:csb1="00000000"/>
  </w:font>
  <w:font w:name="Noto Serif">
    <w:panose1 w:val="02020502060505020204"/>
    <w:charset w:val="00"/>
    <w:family w:val="roman"/>
    <w:pitch w:val="variable"/>
    <w:sig w:usb0="E00002FF" w:usb1="500078FF" w:usb2="08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00CA" w14:textId="24BC1DE2" w:rsidR="00C9415B" w:rsidRDefault="00C9415B" w:rsidP="00C9415B">
    <w:pPr>
      <w:pStyle w:val="Footer"/>
      <w:jc w:val="right"/>
    </w:pPr>
    <w:r>
      <w:rPr>
        <w:noProof/>
      </w:rPr>
      <w:drawing>
        <wp:inline distT="0" distB="0" distL="0" distR="0" wp14:anchorId="5FD32AC3" wp14:editId="3A6B0DE2">
          <wp:extent cx="768542" cy="156110"/>
          <wp:effectExtent l="0" t="0" r="0" b="0"/>
          <wp:docPr id="1785296412" name="Picture 3"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96412" name="Picture 3" descr="A blu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flipV="1">
                    <a:off x="0" y="0"/>
                    <a:ext cx="852023" cy="173067"/>
                  </a:xfrm>
                  <a:prstGeom prst="rect">
                    <a:avLst/>
                  </a:prstGeom>
                </pic:spPr>
              </pic:pic>
            </a:graphicData>
          </a:graphic>
        </wp:inline>
      </w:drawing>
    </w:r>
  </w:p>
  <w:p w14:paraId="4E35E536" w14:textId="77777777" w:rsidR="00C9415B" w:rsidRDefault="00C94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6EA3" w14:textId="77777777" w:rsidR="00F0100B" w:rsidRDefault="00F0100B" w:rsidP="00C9415B">
      <w:r>
        <w:separator/>
      </w:r>
    </w:p>
  </w:footnote>
  <w:footnote w:type="continuationSeparator" w:id="0">
    <w:p w14:paraId="417D1E0C" w14:textId="77777777" w:rsidR="00F0100B" w:rsidRDefault="00F0100B" w:rsidP="00C9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699A" w14:textId="69752A61" w:rsidR="00C9415B" w:rsidRDefault="00C9415B">
    <w:pPr>
      <w:pStyle w:val="Header"/>
    </w:pPr>
  </w:p>
  <w:p w14:paraId="790D8787" w14:textId="77777777" w:rsidR="00C9415B" w:rsidRDefault="00C9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2C80" w14:textId="4EE7AC45" w:rsidR="00964743" w:rsidRDefault="00964743">
    <w:pPr>
      <w:pStyle w:val="Header"/>
    </w:pPr>
    <w:r>
      <w:rPr>
        <w:noProof/>
      </w:rPr>
      <w:drawing>
        <wp:inline distT="0" distB="0" distL="0" distR="0" wp14:anchorId="28C8B586" wp14:editId="36E8A315">
          <wp:extent cx="1206365" cy="904774"/>
          <wp:effectExtent l="0" t="0" r="0" b="0"/>
          <wp:docPr id="1414334287" name="Picture 1" descr="A logo with a light bulb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34287" name="Picture 1" descr="A logo with a light bulb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7493" cy="91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53560"/>
    <w:multiLevelType w:val="multilevel"/>
    <w:tmpl w:val="BA9A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B8F6F"/>
    <w:multiLevelType w:val="hybridMultilevel"/>
    <w:tmpl w:val="8D348286"/>
    <w:lvl w:ilvl="0" w:tplc="AECA137A">
      <w:start w:val="1"/>
      <w:numFmt w:val="decimal"/>
      <w:lvlText w:val="%1."/>
      <w:lvlJc w:val="left"/>
      <w:pPr>
        <w:ind w:left="720" w:hanging="360"/>
      </w:pPr>
    </w:lvl>
    <w:lvl w:ilvl="1" w:tplc="6D9A1E16">
      <w:start w:val="1"/>
      <w:numFmt w:val="lowerLetter"/>
      <w:lvlText w:val="%2."/>
      <w:lvlJc w:val="left"/>
      <w:pPr>
        <w:ind w:left="1440" w:hanging="360"/>
      </w:pPr>
    </w:lvl>
    <w:lvl w:ilvl="2" w:tplc="7E8AF7CE">
      <w:start w:val="1"/>
      <w:numFmt w:val="lowerRoman"/>
      <w:lvlText w:val="%3."/>
      <w:lvlJc w:val="right"/>
      <w:pPr>
        <w:ind w:left="2160" w:hanging="180"/>
      </w:pPr>
    </w:lvl>
    <w:lvl w:ilvl="3" w:tplc="662ACEB6">
      <w:start w:val="1"/>
      <w:numFmt w:val="decimal"/>
      <w:lvlText w:val="%4."/>
      <w:lvlJc w:val="left"/>
      <w:pPr>
        <w:ind w:left="2880" w:hanging="360"/>
      </w:pPr>
    </w:lvl>
    <w:lvl w:ilvl="4" w:tplc="D0B2DFD2">
      <w:start w:val="1"/>
      <w:numFmt w:val="lowerLetter"/>
      <w:lvlText w:val="%5."/>
      <w:lvlJc w:val="left"/>
      <w:pPr>
        <w:ind w:left="3600" w:hanging="360"/>
      </w:pPr>
    </w:lvl>
    <w:lvl w:ilvl="5" w:tplc="1C84530C">
      <w:start w:val="1"/>
      <w:numFmt w:val="lowerRoman"/>
      <w:lvlText w:val="%6."/>
      <w:lvlJc w:val="right"/>
      <w:pPr>
        <w:ind w:left="4320" w:hanging="180"/>
      </w:pPr>
    </w:lvl>
    <w:lvl w:ilvl="6" w:tplc="73B687E2">
      <w:start w:val="1"/>
      <w:numFmt w:val="decimal"/>
      <w:lvlText w:val="%7."/>
      <w:lvlJc w:val="left"/>
      <w:pPr>
        <w:ind w:left="5040" w:hanging="360"/>
      </w:pPr>
    </w:lvl>
    <w:lvl w:ilvl="7" w:tplc="7256CDBE">
      <w:start w:val="1"/>
      <w:numFmt w:val="lowerLetter"/>
      <w:lvlText w:val="%8."/>
      <w:lvlJc w:val="left"/>
      <w:pPr>
        <w:ind w:left="5760" w:hanging="360"/>
      </w:pPr>
    </w:lvl>
    <w:lvl w:ilvl="8" w:tplc="87DEB060">
      <w:start w:val="1"/>
      <w:numFmt w:val="lowerRoman"/>
      <w:lvlText w:val="%9."/>
      <w:lvlJc w:val="right"/>
      <w:pPr>
        <w:ind w:left="6480" w:hanging="180"/>
      </w:pPr>
    </w:lvl>
  </w:abstractNum>
  <w:abstractNum w:abstractNumId="2" w15:restartNumberingAfterBreak="0">
    <w:nsid w:val="3E050D79"/>
    <w:multiLevelType w:val="multilevel"/>
    <w:tmpl w:val="30548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60355A"/>
    <w:multiLevelType w:val="hybridMultilevel"/>
    <w:tmpl w:val="47C83E8E"/>
    <w:lvl w:ilvl="0" w:tplc="563CA314">
      <w:start w:val="1"/>
      <w:numFmt w:val="bullet"/>
      <w:lvlText w:val=""/>
      <w:lvlJc w:val="left"/>
      <w:pPr>
        <w:ind w:left="720" w:hanging="360"/>
      </w:pPr>
      <w:rPr>
        <w:rFonts w:ascii="Symbol" w:hAnsi="Symbol" w:hint="default"/>
      </w:rPr>
    </w:lvl>
    <w:lvl w:ilvl="1" w:tplc="CD68949E">
      <w:start w:val="1"/>
      <w:numFmt w:val="bullet"/>
      <w:lvlText w:val="o"/>
      <w:lvlJc w:val="left"/>
      <w:pPr>
        <w:ind w:left="1440" w:hanging="360"/>
      </w:pPr>
      <w:rPr>
        <w:rFonts w:ascii="Courier New" w:hAnsi="Courier New" w:hint="default"/>
      </w:rPr>
    </w:lvl>
    <w:lvl w:ilvl="2" w:tplc="D602B860">
      <w:start w:val="1"/>
      <w:numFmt w:val="bullet"/>
      <w:lvlText w:val=""/>
      <w:lvlJc w:val="left"/>
      <w:pPr>
        <w:ind w:left="2160" w:hanging="360"/>
      </w:pPr>
      <w:rPr>
        <w:rFonts w:ascii="Wingdings" w:hAnsi="Wingdings" w:hint="default"/>
      </w:rPr>
    </w:lvl>
    <w:lvl w:ilvl="3" w:tplc="CCE89242">
      <w:start w:val="1"/>
      <w:numFmt w:val="bullet"/>
      <w:lvlText w:val=""/>
      <w:lvlJc w:val="left"/>
      <w:pPr>
        <w:ind w:left="2880" w:hanging="360"/>
      </w:pPr>
      <w:rPr>
        <w:rFonts w:ascii="Symbol" w:hAnsi="Symbol" w:hint="default"/>
      </w:rPr>
    </w:lvl>
    <w:lvl w:ilvl="4" w:tplc="60A06FAA">
      <w:start w:val="1"/>
      <w:numFmt w:val="bullet"/>
      <w:lvlText w:val="o"/>
      <w:lvlJc w:val="left"/>
      <w:pPr>
        <w:ind w:left="3600" w:hanging="360"/>
      </w:pPr>
      <w:rPr>
        <w:rFonts w:ascii="Courier New" w:hAnsi="Courier New" w:hint="default"/>
      </w:rPr>
    </w:lvl>
    <w:lvl w:ilvl="5" w:tplc="2962200A">
      <w:start w:val="1"/>
      <w:numFmt w:val="bullet"/>
      <w:lvlText w:val=""/>
      <w:lvlJc w:val="left"/>
      <w:pPr>
        <w:ind w:left="4320" w:hanging="360"/>
      </w:pPr>
      <w:rPr>
        <w:rFonts w:ascii="Wingdings" w:hAnsi="Wingdings" w:hint="default"/>
      </w:rPr>
    </w:lvl>
    <w:lvl w:ilvl="6" w:tplc="A710C288">
      <w:start w:val="1"/>
      <w:numFmt w:val="bullet"/>
      <w:lvlText w:val=""/>
      <w:lvlJc w:val="left"/>
      <w:pPr>
        <w:ind w:left="5040" w:hanging="360"/>
      </w:pPr>
      <w:rPr>
        <w:rFonts w:ascii="Symbol" w:hAnsi="Symbol" w:hint="default"/>
      </w:rPr>
    </w:lvl>
    <w:lvl w:ilvl="7" w:tplc="6F28BDE2">
      <w:start w:val="1"/>
      <w:numFmt w:val="bullet"/>
      <w:lvlText w:val="o"/>
      <w:lvlJc w:val="left"/>
      <w:pPr>
        <w:ind w:left="5760" w:hanging="360"/>
      </w:pPr>
      <w:rPr>
        <w:rFonts w:ascii="Courier New" w:hAnsi="Courier New" w:hint="default"/>
      </w:rPr>
    </w:lvl>
    <w:lvl w:ilvl="8" w:tplc="3AC04F38">
      <w:start w:val="1"/>
      <w:numFmt w:val="bullet"/>
      <w:lvlText w:val=""/>
      <w:lvlJc w:val="left"/>
      <w:pPr>
        <w:ind w:left="6480" w:hanging="360"/>
      </w:pPr>
      <w:rPr>
        <w:rFonts w:ascii="Wingdings" w:hAnsi="Wingdings" w:hint="default"/>
      </w:rPr>
    </w:lvl>
  </w:abstractNum>
  <w:abstractNum w:abstractNumId="4" w15:restartNumberingAfterBreak="0">
    <w:nsid w:val="64707170"/>
    <w:multiLevelType w:val="hybridMultilevel"/>
    <w:tmpl w:val="16A62588"/>
    <w:lvl w:ilvl="0" w:tplc="36F6D2EC">
      <w:start w:val="1"/>
      <w:numFmt w:val="decimal"/>
      <w:lvlText w:val="%1."/>
      <w:lvlJc w:val="left"/>
      <w:pPr>
        <w:ind w:left="720" w:hanging="360"/>
      </w:pPr>
    </w:lvl>
    <w:lvl w:ilvl="1" w:tplc="280802CC">
      <w:start w:val="1"/>
      <w:numFmt w:val="lowerLetter"/>
      <w:lvlText w:val="%2."/>
      <w:lvlJc w:val="left"/>
      <w:pPr>
        <w:ind w:left="1440" w:hanging="360"/>
      </w:pPr>
    </w:lvl>
    <w:lvl w:ilvl="2" w:tplc="86D2B5F8">
      <w:start w:val="1"/>
      <w:numFmt w:val="lowerRoman"/>
      <w:lvlText w:val="%3."/>
      <w:lvlJc w:val="right"/>
      <w:pPr>
        <w:ind w:left="2160" w:hanging="180"/>
      </w:pPr>
    </w:lvl>
    <w:lvl w:ilvl="3" w:tplc="9EA81B72">
      <w:start w:val="1"/>
      <w:numFmt w:val="decimal"/>
      <w:lvlText w:val="%4."/>
      <w:lvlJc w:val="left"/>
      <w:pPr>
        <w:ind w:left="2880" w:hanging="360"/>
      </w:pPr>
    </w:lvl>
    <w:lvl w:ilvl="4" w:tplc="676AA3EE">
      <w:start w:val="1"/>
      <w:numFmt w:val="lowerLetter"/>
      <w:lvlText w:val="%5."/>
      <w:lvlJc w:val="left"/>
      <w:pPr>
        <w:ind w:left="3600" w:hanging="360"/>
      </w:pPr>
    </w:lvl>
    <w:lvl w:ilvl="5" w:tplc="4A7E1886">
      <w:start w:val="1"/>
      <w:numFmt w:val="lowerRoman"/>
      <w:lvlText w:val="%6."/>
      <w:lvlJc w:val="right"/>
      <w:pPr>
        <w:ind w:left="4320" w:hanging="180"/>
      </w:pPr>
    </w:lvl>
    <w:lvl w:ilvl="6" w:tplc="356834BA">
      <w:start w:val="1"/>
      <w:numFmt w:val="decimal"/>
      <w:lvlText w:val="%7."/>
      <w:lvlJc w:val="left"/>
      <w:pPr>
        <w:ind w:left="5040" w:hanging="360"/>
      </w:pPr>
    </w:lvl>
    <w:lvl w:ilvl="7" w:tplc="2152CB1E">
      <w:start w:val="1"/>
      <w:numFmt w:val="lowerLetter"/>
      <w:lvlText w:val="%8."/>
      <w:lvlJc w:val="left"/>
      <w:pPr>
        <w:ind w:left="5760" w:hanging="360"/>
      </w:pPr>
    </w:lvl>
    <w:lvl w:ilvl="8" w:tplc="E174BF74">
      <w:start w:val="1"/>
      <w:numFmt w:val="lowerRoman"/>
      <w:lvlText w:val="%9."/>
      <w:lvlJc w:val="right"/>
      <w:pPr>
        <w:ind w:left="6480" w:hanging="180"/>
      </w:pPr>
    </w:lvl>
  </w:abstractNum>
  <w:abstractNum w:abstractNumId="5" w15:restartNumberingAfterBreak="0">
    <w:nsid w:val="73F852F1"/>
    <w:multiLevelType w:val="hybridMultilevel"/>
    <w:tmpl w:val="3F68D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480433">
    <w:abstractNumId w:val="1"/>
  </w:num>
  <w:num w:numId="2" w16cid:durableId="1266494504">
    <w:abstractNumId w:val="3"/>
  </w:num>
  <w:num w:numId="3" w16cid:durableId="1946038118">
    <w:abstractNumId w:val="4"/>
  </w:num>
  <w:num w:numId="4" w16cid:durableId="947811221">
    <w:abstractNumId w:val="5"/>
  </w:num>
  <w:num w:numId="5" w16cid:durableId="10837102">
    <w:abstractNumId w:val="0"/>
  </w:num>
  <w:num w:numId="6" w16cid:durableId="379475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42245"/>
    <w:rsid w:val="000C5EAC"/>
    <w:rsid w:val="000D192A"/>
    <w:rsid w:val="001918E9"/>
    <w:rsid w:val="001A1FD0"/>
    <w:rsid w:val="001C78D5"/>
    <w:rsid w:val="001D281C"/>
    <w:rsid w:val="001F69F6"/>
    <w:rsid w:val="001F7787"/>
    <w:rsid w:val="00204028"/>
    <w:rsid w:val="00232561"/>
    <w:rsid w:val="002466FF"/>
    <w:rsid w:val="0024736C"/>
    <w:rsid w:val="00255294"/>
    <w:rsid w:val="00282A15"/>
    <w:rsid w:val="003213AE"/>
    <w:rsid w:val="00335994"/>
    <w:rsid w:val="00351B26"/>
    <w:rsid w:val="003F3F22"/>
    <w:rsid w:val="004F6A14"/>
    <w:rsid w:val="00513786"/>
    <w:rsid w:val="00580A73"/>
    <w:rsid w:val="00583205"/>
    <w:rsid w:val="005A508E"/>
    <w:rsid w:val="005A699B"/>
    <w:rsid w:val="005B2617"/>
    <w:rsid w:val="005B40C6"/>
    <w:rsid w:val="006114ED"/>
    <w:rsid w:val="006172D7"/>
    <w:rsid w:val="006A1DF9"/>
    <w:rsid w:val="006B0AAB"/>
    <w:rsid w:val="0072689B"/>
    <w:rsid w:val="00736D59"/>
    <w:rsid w:val="00782666"/>
    <w:rsid w:val="007A65F1"/>
    <w:rsid w:val="007E7A83"/>
    <w:rsid w:val="00830685"/>
    <w:rsid w:val="00834765"/>
    <w:rsid w:val="00835214"/>
    <w:rsid w:val="0084269A"/>
    <w:rsid w:val="008635CF"/>
    <w:rsid w:val="00886D3B"/>
    <w:rsid w:val="0089474F"/>
    <w:rsid w:val="008E2116"/>
    <w:rsid w:val="008F5E15"/>
    <w:rsid w:val="00905A21"/>
    <w:rsid w:val="00917AC8"/>
    <w:rsid w:val="00964743"/>
    <w:rsid w:val="00965988"/>
    <w:rsid w:val="009830C9"/>
    <w:rsid w:val="009A25E1"/>
    <w:rsid w:val="009D31B3"/>
    <w:rsid w:val="00A5007B"/>
    <w:rsid w:val="00A70D61"/>
    <w:rsid w:val="00B138C7"/>
    <w:rsid w:val="00B363C9"/>
    <w:rsid w:val="00B577B8"/>
    <w:rsid w:val="00B74BE9"/>
    <w:rsid w:val="00B918A0"/>
    <w:rsid w:val="00BA3BD0"/>
    <w:rsid w:val="00BE13FE"/>
    <w:rsid w:val="00C11DC1"/>
    <w:rsid w:val="00C41F80"/>
    <w:rsid w:val="00C9415B"/>
    <w:rsid w:val="00D0231F"/>
    <w:rsid w:val="00D1010D"/>
    <w:rsid w:val="00D10A7C"/>
    <w:rsid w:val="00D16354"/>
    <w:rsid w:val="00D70F18"/>
    <w:rsid w:val="00E32FE3"/>
    <w:rsid w:val="00E336F6"/>
    <w:rsid w:val="00EB0CF3"/>
    <w:rsid w:val="00ED42AF"/>
    <w:rsid w:val="00ED58C7"/>
    <w:rsid w:val="00ED7819"/>
    <w:rsid w:val="00EE6E42"/>
    <w:rsid w:val="00F0100B"/>
    <w:rsid w:val="00F2145F"/>
    <w:rsid w:val="00F87D3D"/>
    <w:rsid w:val="00FE6ED5"/>
    <w:rsid w:val="057F7CE2"/>
    <w:rsid w:val="2A7D1B59"/>
    <w:rsid w:val="3AE9B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5007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A7D1B59"/>
    <w:rPr>
      <w:color w:val="0563C1"/>
      <w:u w:val="single"/>
    </w:rPr>
  </w:style>
  <w:style w:type="paragraph" w:styleId="ListParagraph">
    <w:name w:val="List Paragraph"/>
    <w:basedOn w:val="Normal"/>
    <w:uiPriority w:val="34"/>
    <w:qFormat/>
    <w:rsid w:val="2A7D1B59"/>
    <w:pPr>
      <w:ind w:left="720"/>
      <w:contextualSpacing/>
    </w:pPr>
  </w:style>
  <w:style w:type="paragraph" w:styleId="Header">
    <w:name w:val="header"/>
    <w:basedOn w:val="Normal"/>
    <w:link w:val="HeaderChar"/>
    <w:uiPriority w:val="99"/>
    <w:unhideWhenUsed/>
    <w:rsid w:val="00C9415B"/>
    <w:pPr>
      <w:tabs>
        <w:tab w:val="center" w:pos="4680"/>
        <w:tab w:val="right" w:pos="9360"/>
      </w:tabs>
    </w:pPr>
  </w:style>
  <w:style w:type="character" w:customStyle="1" w:styleId="HeaderChar">
    <w:name w:val="Header Char"/>
    <w:basedOn w:val="DefaultParagraphFont"/>
    <w:link w:val="Header"/>
    <w:uiPriority w:val="99"/>
    <w:rsid w:val="00C9415B"/>
  </w:style>
  <w:style w:type="paragraph" w:styleId="Footer">
    <w:name w:val="footer"/>
    <w:basedOn w:val="Normal"/>
    <w:link w:val="FooterChar"/>
    <w:uiPriority w:val="99"/>
    <w:unhideWhenUsed/>
    <w:rsid w:val="00C9415B"/>
    <w:pPr>
      <w:tabs>
        <w:tab w:val="center" w:pos="4680"/>
        <w:tab w:val="right" w:pos="9360"/>
      </w:tabs>
    </w:pPr>
  </w:style>
  <w:style w:type="character" w:customStyle="1" w:styleId="FooterChar">
    <w:name w:val="Footer Char"/>
    <w:basedOn w:val="DefaultParagraphFont"/>
    <w:link w:val="Footer"/>
    <w:uiPriority w:val="99"/>
    <w:rsid w:val="00C9415B"/>
  </w:style>
  <w:style w:type="paragraph" w:styleId="Revision">
    <w:name w:val="Revision"/>
    <w:hidden/>
    <w:uiPriority w:val="99"/>
    <w:semiHidden/>
    <w:rsid w:val="00C9415B"/>
  </w:style>
  <w:style w:type="character" w:styleId="CommentReference">
    <w:name w:val="annotation reference"/>
    <w:basedOn w:val="DefaultParagraphFont"/>
    <w:uiPriority w:val="99"/>
    <w:semiHidden/>
    <w:unhideWhenUsed/>
    <w:rsid w:val="00C9415B"/>
    <w:rPr>
      <w:sz w:val="16"/>
      <w:szCs w:val="16"/>
    </w:rPr>
  </w:style>
  <w:style w:type="paragraph" w:styleId="CommentText">
    <w:name w:val="annotation text"/>
    <w:basedOn w:val="Normal"/>
    <w:link w:val="CommentTextChar"/>
    <w:uiPriority w:val="99"/>
    <w:semiHidden/>
    <w:unhideWhenUsed/>
    <w:rsid w:val="00C9415B"/>
    <w:rPr>
      <w:sz w:val="20"/>
      <w:szCs w:val="20"/>
    </w:rPr>
  </w:style>
  <w:style w:type="character" w:customStyle="1" w:styleId="CommentTextChar">
    <w:name w:val="Comment Text Char"/>
    <w:basedOn w:val="DefaultParagraphFont"/>
    <w:link w:val="CommentText"/>
    <w:uiPriority w:val="99"/>
    <w:semiHidden/>
    <w:rsid w:val="00C9415B"/>
    <w:rPr>
      <w:sz w:val="20"/>
      <w:szCs w:val="20"/>
    </w:rPr>
  </w:style>
  <w:style w:type="paragraph" w:styleId="CommentSubject">
    <w:name w:val="annotation subject"/>
    <w:basedOn w:val="CommentText"/>
    <w:next w:val="CommentText"/>
    <w:link w:val="CommentSubjectChar"/>
    <w:uiPriority w:val="99"/>
    <w:semiHidden/>
    <w:unhideWhenUsed/>
    <w:rsid w:val="00C9415B"/>
    <w:rPr>
      <w:b/>
      <w:bCs/>
    </w:rPr>
  </w:style>
  <w:style w:type="character" w:customStyle="1" w:styleId="CommentSubjectChar">
    <w:name w:val="Comment Subject Char"/>
    <w:basedOn w:val="CommentTextChar"/>
    <w:link w:val="CommentSubject"/>
    <w:uiPriority w:val="99"/>
    <w:semiHidden/>
    <w:rsid w:val="00C9415B"/>
    <w:rPr>
      <w:b/>
      <w:bCs/>
      <w:sz w:val="20"/>
      <w:szCs w:val="20"/>
    </w:rPr>
  </w:style>
  <w:style w:type="character" w:styleId="UnresolvedMention">
    <w:name w:val="Unresolved Mention"/>
    <w:basedOn w:val="DefaultParagraphFont"/>
    <w:uiPriority w:val="99"/>
    <w:rsid w:val="0089474F"/>
    <w:rPr>
      <w:color w:val="605E5C"/>
      <w:shd w:val="clear" w:color="auto" w:fill="E1DFDD"/>
    </w:rPr>
  </w:style>
  <w:style w:type="character" w:customStyle="1" w:styleId="Heading3Char">
    <w:name w:val="Heading 3 Char"/>
    <w:basedOn w:val="DefaultParagraphFont"/>
    <w:link w:val="Heading3"/>
    <w:uiPriority w:val="9"/>
    <w:rsid w:val="00A5007B"/>
    <w:rPr>
      <w:rFonts w:ascii="Times New Roman" w:eastAsia="Times New Roman" w:hAnsi="Times New Roman" w:cs="Times New Roman"/>
      <w:b/>
      <w:bCs/>
      <w:sz w:val="27"/>
      <w:szCs w:val="27"/>
    </w:rPr>
  </w:style>
  <w:style w:type="character" w:styleId="Strong">
    <w:name w:val="Strong"/>
    <w:basedOn w:val="DefaultParagraphFont"/>
    <w:uiPriority w:val="22"/>
    <w:qFormat/>
    <w:rsid w:val="00A5007B"/>
    <w:rPr>
      <w:b/>
      <w:bCs/>
    </w:rPr>
  </w:style>
  <w:style w:type="paragraph" w:styleId="NormalWeb">
    <w:name w:val="Normal (Web)"/>
    <w:basedOn w:val="Normal"/>
    <w:uiPriority w:val="99"/>
    <w:semiHidden/>
    <w:unhideWhenUsed/>
    <w:rsid w:val="00A5007B"/>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11D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s.ecs.org/comparisons/k-12-funding-2024-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s.org/wp-content/uploads/Special-Education-Funding-Sept.-2025.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pc.colorado.edu/sites/default/files/publications/PB%20Kolb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845</Words>
  <Characters>5461</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Sharon Agnello</cp:lastModifiedBy>
  <cp:revision>4</cp:revision>
  <dcterms:created xsi:type="dcterms:W3CDTF">2026-04-09T17:38:00Z</dcterms:created>
  <dcterms:modified xsi:type="dcterms:W3CDTF">2026-04-09T20:02:00Z</dcterms:modified>
</cp:coreProperties>
</file>