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D2E7" w14:textId="77777777" w:rsidR="0089474F" w:rsidRDefault="0089474F" w:rsidP="0089474F">
      <w:pPr>
        <w:rPr>
          <w:rFonts w:ascii="Noto Sans Kannada" w:eastAsia="Times New Roman" w:hAnsi="Noto Sans Kannada" w:cs="Noto Sans Kannada"/>
          <w:b/>
          <w:bCs/>
        </w:rPr>
      </w:pPr>
    </w:p>
    <w:p w14:paraId="55B12394" w14:textId="77777777" w:rsidR="0089474F" w:rsidRPr="00314717" w:rsidRDefault="0089474F" w:rsidP="0089474F">
      <w:pPr>
        <w:jc w:val="both"/>
        <w:rPr>
          <w:rFonts w:ascii="Noto Sans" w:eastAsia="Times New Roman" w:hAnsi="Noto Sans" w:cs="Noto Sans"/>
          <w:b/>
          <w:bCs/>
          <w:sz w:val="18"/>
          <w:szCs w:val="18"/>
        </w:rPr>
      </w:pPr>
      <w:r w:rsidRPr="00314717">
        <w:rPr>
          <w:rFonts w:ascii="Noto Sans" w:eastAsia="Times New Roman" w:hAnsi="Noto Sans" w:cs="Noto Sans"/>
          <w:b/>
          <w:bCs/>
          <w:sz w:val="18"/>
          <w:szCs w:val="18"/>
        </w:rPr>
        <w:t xml:space="preserve">This one-pager is designed to be white-labeled for use by advocates and policy organizations. You are welcome to keep the </w:t>
      </w:r>
      <w:proofErr w:type="spellStart"/>
      <w:r w:rsidRPr="00314717">
        <w:rPr>
          <w:rFonts w:ascii="Noto Sans" w:eastAsia="Times New Roman" w:hAnsi="Noto Sans" w:cs="Noto Sans"/>
          <w:b/>
          <w:bCs/>
          <w:color w:val="11698C"/>
          <w:sz w:val="18"/>
          <w:szCs w:val="18"/>
        </w:rPr>
        <w:t>EdFund</w:t>
      </w:r>
      <w:proofErr w:type="spellEnd"/>
      <w:r w:rsidRPr="00314717">
        <w:rPr>
          <w:rFonts w:ascii="Noto Sans" w:eastAsia="Times New Roman" w:hAnsi="Noto Sans" w:cs="Noto Sans"/>
          <w:b/>
          <w:bCs/>
          <w:sz w:val="18"/>
          <w:szCs w:val="18"/>
        </w:rPr>
        <w:t xml:space="preserve"> logo, add your organization’s branding alongside it, or replace it entirely when sharing this resource. Our goal is to make these materials as useful as possible for advancing evidence-based school finance policy.</w:t>
      </w:r>
    </w:p>
    <w:p w14:paraId="2BFAF5B6" w14:textId="77777777" w:rsidR="0089474F" w:rsidRDefault="0089474F" w:rsidP="0089474F">
      <w:pPr>
        <w:rPr>
          <w:rFonts w:ascii="Noto Sans Kannada" w:eastAsia="Times New Roman" w:hAnsi="Noto Sans Kannada" w:cs="Noto Sans Kannada"/>
          <w:b/>
          <w:bCs/>
        </w:rPr>
      </w:pPr>
    </w:p>
    <w:p w14:paraId="2646974F" w14:textId="57FD6D65" w:rsidR="0089474F" w:rsidRDefault="0089474F" w:rsidP="0089474F">
      <w:pPr>
        <w:rPr>
          <w:rFonts w:ascii="Noto Sans Kannada" w:eastAsia="Times New Roman" w:hAnsi="Noto Sans Kannada" w:cs="Noto Sans Kannada"/>
          <w:b/>
          <w:bCs/>
        </w:rPr>
      </w:pPr>
      <w:r>
        <w:rPr>
          <w:rFonts w:ascii="Noto Serif" w:eastAsia="Times New Roman" w:hAnsi="Noto Serif" w:cs="Noto Serif"/>
          <w:noProof/>
          <w:sz w:val="18"/>
          <w:szCs w:val="18"/>
        </w:rPr>
        <mc:AlternateContent>
          <mc:Choice Requires="wps">
            <w:drawing>
              <wp:anchor distT="0" distB="0" distL="114300" distR="114300" simplePos="0" relativeHeight="251659264" behindDoc="0" locked="0" layoutInCell="1" allowOverlap="1" wp14:anchorId="305A983B" wp14:editId="4ED773F0">
                <wp:simplePos x="0" y="0"/>
                <wp:positionH relativeFrom="margin">
                  <wp:align>center</wp:align>
                </wp:positionH>
                <wp:positionV relativeFrom="paragraph">
                  <wp:posOffset>0</wp:posOffset>
                </wp:positionV>
                <wp:extent cx="5588000" cy="0"/>
                <wp:effectExtent l="0" t="0" r="12700" b="12700"/>
                <wp:wrapNone/>
                <wp:docPr id="793574762" name="Straight Connector 1"/>
                <wp:cNvGraphicFramePr/>
                <a:graphic xmlns:a="http://schemas.openxmlformats.org/drawingml/2006/main">
                  <a:graphicData uri="http://schemas.microsoft.com/office/word/2010/wordprocessingShape">
                    <wps:wsp>
                      <wps:cNvCnPr/>
                      <wps:spPr>
                        <a:xfrm>
                          <a:off x="0" y="0"/>
                          <a:ext cx="5588000" cy="0"/>
                        </a:xfrm>
                        <a:prstGeom prst="line">
                          <a:avLst/>
                        </a:prstGeom>
                        <a:ln>
                          <a:solidFill>
                            <a:srgbClr val="FFAE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7367F"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0" to="4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l/kuAEAANUDAAAOAAAAZHJzL2Uyb0RvYy54bWysU8tu2zAQvBfIPxC815JTJDAEy0GQVL0U&#13;&#10;bdDHB9DU0iJAcgmSseS/z5K25aAtULTIheKSO7Ozw9X6brKG7SFEja7ly0XNGTiJvXa7lv/80b1f&#13;&#10;cRaTcL0w6KDlB4j8bnP1bj36Bq5xQNNDYETiYjP6lg8p+aaqohzAirhAD44uFQYrEoVhV/VBjMRu&#13;&#10;TXVd17fViKH3ASXESKePx0u+KfxKgUxflYqQmGk5aUtlDWXd5rXarEWzC8IPWp5kiP9QYYV2VHSm&#13;&#10;ehRJsOegf6OyWgaMqNJCoq1QKS2h9EDdLOtfuvk+CA+lFzIn+tmm+Ha08sv+wT0FsmH0sYn+KeQu&#13;&#10;JhVs/pI+NhWzDrNZMCUm6fDmZrWqa/JUnu+qC9CHmD4BWpY3LTfa5T5EI/afY6JilHpOycfG5TWi&#13;&#10;0X2njSlB2G0fTGB7QS/XdfcfP3T5sQj4Ko2iDK0u2ssuHQwcab+BYrontctSvowVzLRCSnBpeeI1&#13;&#10;jrIzTJGEGVj/HXjKz1AoI/cv4BlRKqNLM9hqh+FP1dN0lqyO+WcHjn1nC7bYH8qrFmtodopzpznP&#13;&#10;w/k6LvDL37h5AQAA//8DAFBLAwQUAAYACAAAACEADHrb/90AAAAHAQAADwAAAGRycy9kb3ducmV2&#13;&#10;LnhtbEyPQUvDQBCF70L/wzKCN7upooQ0myJVoVKQtnrxts2OSWx2Nuxuk+ivd+qlXh48HvPme/li&#13;&#10;tK3o0YfGkYLZNAGBVDrTUKXg/e35OgURoiajW0eo4BsDLIrJRa4z4wbaYr+LleASCplWUMfYZVKG&#13;&#10;skarw9R1SJx9Om91ZOsrabweuNy28iZJ7qXVDfGHWne4rLE87I5WwZffvK6WT6tq9jO89OuP27sx&#13;&#10;rjulri7HxznLwxxExDGeL+C0gfmhYLC9O5IJolXAa+KfcpamCdv9ycoil//5i18AAAD//wMAUEsB&#13;&#10;Ai0AFAAGAAgAAAAhALaDOJL+AAAA4QEAABMAAAAAAAAAAAAAAAAAAAAAAFtDb250ZW50X1R5cGVz&#13;&#10;XS54bWxQSwECLQAUAAYACAAAACEAOP0h/9YAAACUAQAACwAAAAAAAAAAAAAAAAAvAQAAX3JlbHMv&#13;&#10;LnJlbHNQSwECLQAUAAYACAAAACEArdJf5LgBAADVAwAADgAAAAAAAAAAAAAAAAAuAgAAZHJzL2Uy&#13;&#10;b0RvYy54bWxQSwECLQAUAAYACAAAACEADHrb/90AAAAHAQAADwAAAAAAAAAAAAAAAAASBAAAZHJz&#13;&#10;L2Rvd25yZXYueG1sUEsFBgAAAAAEAAQA8wAAABwFAAAAAA==&#13;&#10;" strokecolor="#ffae3f" strokeweight=".5pt">
                <v:stroke joinstyle="miter"/>
                <w10:wrap anchorx="margin"/>
              </v:line>
            </w:pict>
          </mc:Fallback>
        </mc:AlternateContent>
      </w:r>
    </w:p>
    <w:p w14:paraId="4F282CBA" w14:textId="3BC61DA3" w:rsidR="0089474F" w:rsidRPr="0089474F" w:rsidRDefault="0089474F" w:rsidP="0089474F">
      <w:pPr>
        <w:rPr>
          <w:rFonts w:ascii="Noto Sans" w:eastAsia="Times New Roman" w:hAnsi="Noto Sans" w:cs="Noto Sans"/>
          <w:b/>
          <w:bCs/>
          <w:color w:val="11698C"/>
          <w:sz w:val="32"/>
          <w:szCs w:val="32"/>
        </w:rPr>
      </w:pPr>
      <w:r w:rsidRPr="0089474F">
        <w:rPr>
          <w:rFonts w:ascii="Noto Sans" w:eastAsia="Times New Roman" w:hAnsi="Noto Sans" w:cs="Noto Sans"/>
          <w:b/>
          <w:bCs/>
          <w:color w:val="11698C"/>
          <w:sz w:val="32"/>
          <w:szCs w:val="32"/>
        </w:rPr>
        <w:t>Low-Income Students</w:t>
      </w:r>
    </w:p>
    <w:p w14:paraId="5348C704" w14:textId="77777777" w:rsidR="0089474F" w:rsidRPr="0089474F" w:rsidRDefault="0089474F" w:rsidP="0089474F">
      <w:pPr>
        <w:rPr>
          <w:rFonts w:ascii="Noto Sans" w:eastAsia="Times New Roman" w:hAnsi="Noto Sans" w:cs="Noto Sans"/>
        </w:rPr>
      </w:pPr>
    </w:p>
    <w:p w14:paraId="2A07D06D" w14:textId="77777777" w:rsidR="0089474F" w:rsidRPr="0089474F" w:rsidRDefault="0089474F" w:rsidP="0089474F">
      <w:pPr>
        <w:jc w:val="both"/>
        <w:rPr>
          <w:rFonts w:ascii="Noto Sans" w:eastAsia="Times New Roman" w:hAnsi="Noto Sans" w:cs="Noto Sans"/>
        </w:rPr>
      </w:pPr>
      <w:r w:rsidRPr="0089474F">
        <w:rPr>
          <w:rFonts w:ascii="Noto Sans" w:eastAsia="Times New Roman" w:hAnsi="Noto Sans" w:cs="Noto Sans"/>
        </w:rPr>
        <w:t xml:space="preserve">Most states provide additional support for students from low-income households, typically based on either individual student counts or concentration-based measures. Most often, student eligibility for additional state aid is tied to participation in the National School Lunch Program, which includes students from households with incomes below 185% of the federal poverty line. States use several mechanisms to distribute these funds. Some provide flat supplements that allocate a set dollar amount for each eligible student. Others use student weights which act as multipliers applied to the base per-pupil funding amount. In other cases, states allocate additional staffing or programs rather than dollars, and/or provide targeted grants outside the core school funding formula, often to support specific initiatives such as summer learning. As of 2025, forty-three states and the District of Columbia provide some form of additional funding to address resource disparities associated with student poverty. </w:t>
      </w:r>
    </w:p>
    <w:p w14:paraId="08D3B5A0" w14:textId="77777777" w:rsidR="0089474F" w:rsidRPr="0089474F" w:rsidRDefault="0089474F" w:rsidP="0089474F">
      <w:pPr>
        <w:rPr>
          <w:rFonts w:ascii="Noto Sans" w:eastAsia="Times New Roman" w:hAnsi="Noto Sans" w:cs="Noto Sans"/>
          <w:b/>
          <w:bCs/>
        </w:rPr>
      </w:pPr>
    </w:p>
    <w:p w14:paraId="3CEB6E4D" w14:textId="77777777" w:rsidR="0089474F" w:rsidRPr="0089474F" w:rsidRDefault="0089474F" w:rsidP="0089474F">
      <w:pPr>
        <w:rPr>
          <w:rFonts w:ascii="Noto Sans" w:eastAsia="Times New Roman" w:hAnsi="Noto Sans" w:cs="Noto Sans"/>
          <w:b/>
          <w:bCs/>
          <w:color w:val="11698C"/>
        </w:rPr>
      </w:pPr>
      <w:r w:rsidRPr="0089474F">
        <w:rPr>
          <w:rFonts w:ascii="Noto Sans" w:eastAsia="Times New Roman" w:hAnsi="Noto Sans" w:cs="Noto Sans"/>
          <w:b/>
          <w:bCs/>
          <w:color w:val="11698C"/>
        </w:rPr>
        <w:t>What the Research Says</w:t>
      </w:r>
    </w:p>
    <w:p w14:paraId="2EF35C23" w14:textId="77777777" w:rsidR="0089474F" w:rsidRPr="0089474F" w:rsidRDefault="0089474F" w:rsidP="0089474F">
      <w:pPr>
        <w:jc w:val="both"/>
        <w:rPr>
          <w:rFonts w:ascii="Noto Sans" w:eastAsia="Times New Roman" w:hAnsi="Noto Sans" w:cs="Noto Sans"/>
        </w:rPr>
      </w:pPr>
      <w:r w:rsidRPr="0089474F">
        <w:rPr>
          <w:rFonts w:ascii="Noto Sans" w:eastAsia="Times New Roman" w:hAnsi="Noto Sans" w:cs="Noto Sans"/>
        </w:rPr>
        <w:t>Rigorous causal research shows that increasing school funding leads to better student outcomes, particularly for economically disadvantaged students. Research also shows that directing more school funding to communities with fewer resources is highly effective, because each additional dollar tends to have a greater impact in low-income areas than in wealthier ones.</w:t>
      </w:r>
    </w:p>
    <w:p w14:paraId="49226E3A" w14:textId="77777777" w:rsidR="0089474F" w:rsidRPr="0089474F" w:rsidRDefault="0089474F" w:rsidP="0089474F">
      <w:pPr>
        <w:rPr>
          <w:rFonts w:ascii="Noto Sans" w:eastAsia="Times New Roman" w:hAnsi="Noto Sans" w:cs="Noto Sans"/>
        </w:rPr>
      </w:pPr>
    </w:p>
    <w:p w14:paraId="48EB73CC" w14:textId="77777777" w:rsidR="0089474F" w:rsidRPr="0089474F" w:rsidRDefault="0089474F" w:rsidP="0089474F">
      <w:pPr>
        <w:pStyle w:val="ListParagraph"/>
        <w:numPr>
          <w:ilvl w:val="0"/>
          <w:numId w:val="4"/>
        </w:numPr>
        <w:jc w:val="both"/>
        <w:rPr>
          <w:rFonts w:ascii="Noto Sans" w:eastAsia="Times New Roman" w:hAnsi="Noto Sans" w:cs="Noto Sans"/>
        </w:rPr>
      </w:pPr>
      <w:r w:rsidRPr="0089474F">
        <w:rPr>
          <w:rFonts w:ascii="Noto Sans" w:eastAsia="Times New Roman" w:hAnsi="Noto Sans" w:cs="Noto Sans"/>
          <w:b/>
          <w:bCs/>
          <w:color w:val="11698C"/>
        </w:rPr>
        <w:t>Sustained Funding Increases College Enrollment:</w:t>
      </w:r>
      <w:r w:rsidRPr="0089474F">
        <w:rPr>
          <w:rFonts w:ascii="Noto Sans" w:eastAsia="Times New Roman" w:hAnsi="Noto Sans" w:cs="Noto Sans"/>
        </w:rPr>
        <w:t xml:space="preserve"> A national meta-analysis finds that a $1,000 per-pupil spending increase sustained over four years increases college enrollment by 2 percentage points for low-income students in more than 85% of cases, compared with fewer than 30% of cases for higher-income students (Jackson &amp; Mackevicius, 2024).</w:t>
      </w:r>
    </w:p>
    <w:p w14:paraId="0BC632F4" w14:textId="452983F1" w:rsidR="0089474F" w:rsidRPr="0089474F" w:rsidRDefault="0089474F" w:rsidP="0089474F">
      <w:pPr>
        <w:pStyle w:val="ListParagraph"/>
        <w:numPr>
          <w:ilvl w:val="0"/>
          <w:numId w:val="4"/>
        </w:numPr>
        <w:jc w:val="both"/>
        <w:rPr>
          <w:rFonts w:ascii="Noto Sans" w:eastAsia="Times New Roman" w:hAnsi="Noto Sans" w:cs="Noto Sans"/>
        </w:rPr>
      </w:pPr>
      <w:r w:rsidRPr="0089474F">
        <w:rPr>
          <w:rFonts w:ascii="Noto Sans" w:eastAsia="Times New Roman" w:hAnsi="Noto Sans" w:cs="Noto Sans"/>
          <w:b/>
          <w:bCs/>
          <w:color w:val="11698C"/>
        </w:rPr>
        <w:t>Targeted Funding Reduces Achievement Gaps:</w:t>
      </w:r>
      <w:r>
        <w:rPr>
          <w:rFonts w:ascii="Noto Sans" w:eastAsia="Times New Roman" w:hAnsi="Noto Sans" w:cs="Noto Sans"/>
          <w:color w:val="11698C"/>
        </w:rPr>
        <w:t xml:space="preserve"> </w:t>
      </w:r>
      <w:r w:rsidRPr="0089474F">
        <w:rPr>
          <w:rFonts w:ascii="Noto Sans" w:eastAsia="Times New Roman" w:hAnsi="Noto Sans" w:cs="Noto Sans"/>
        </w:rPr>
        <w:t xml:space="preserve">After school finance reforms in the 1990s increased funding in low-income districts by about $1,200 per pupil annually, students experienced meaningful test score gains, </w:t>
      </w:r>
      <w:r w:rsidRPr="0089474F">
        <w:rPr>
          <w:rFonts w:ascii="Noto Sans" w:eastAsia="Times New Roman" w:hAnsi="Noto Sans" w:cs="Noto Sans"/>
        </w:rPr>
        <w:lastRenderedPageBreak/>
        <w:t>closing roughly 20% of the achievement gap with students in wealthier districts within ten years (Lafortune et al., 2018).</w:t>
      </w:r>
    </w:p>
    <w:p w14:paraId="4D9D65F3" w14:textId="77777777" w:rsidR="0089474F" w:rsidRPr="0089474F" w:rsidRDefault="0089474F" w:rsidP="0089474F">
      <w:pPr>
        <w:pStyle w:val="ListParagraph"/>
        <w:numPr>
          <w:ilvl w:val="0"/>
          <w:numId w:val="4"/>
        </w:numPr>
        <w:jc w:val="both"/>
        <w:rPr>
          <w:rFonts w:ascii="Noto Sans" w:eastAsia="Times New Roman" w:hAnsi="Noto Sans" w:cs="Noto Sans"/>
        </w:rPr>
      </w:pPr>
      <w:r w:rsidRPr="0089474F">
        <w:rPr>
          <w:rFonts w:ascii="Noto Sans" w:eastAsia="Times New Roman" w:hAnsi="Noto Sans" w:cs="Noto Sans"/>
          <w:b/>
          <w:bCs/>
          <w:color w:val="11698C"/>
        </w:rPr>
        <w:t xml:space="preserve">Largest Gains in High-Need Communities: </w:t>
      </w:r>
      <w:r w:rsidRPr="0089474F">
        <w:rPr>
          <w:rFonts w:ascii="Noto Sans" w:eastAsia="Times New Roman" w:hAnsi="Noto Sans" w:cs="Noto Sans"/>
        </w:rPr>
        <w:t xml:space="preserve">Research shows that increased school spending is most effective in communities with low previous investment in children, as shown by higher rates of low birth weight and child poverty. In these disadvantaged counties, the achievement gains from increased funding are over twenty times larger than in high-investment counties </w:t>
      </w:r>
      <w:r w:rsidRPr="0089474F">
        <w:rPr>
          <w:rFonts w:ascii="Noto Sans" w:eastAsia="Times New Roman" w:hAnsi="Noto Sans" w:cs="Noto Sans"/>
          <w:lang w:val="en"/>
        </w:rPr>
        <w:t>(Rauscher &amp; Shen, 2022).</w:t>
      </w:r>
    </w:p>
    <w:p w14:paraId="2A5CF4AB" w14:textId="77777777" w:rsidR="0089474F" w:rsidRPr="0089474F" w:rsidRDefault="0089474F" w:rsidP="0089474F">
      <w:pPr>
        <w:rPr>
          <w:rFonts w:ascii="Noto Sans" w:eastAsia="Times New Roman" w:hAnsi="Noto Sans" w:cs="Noto Sans"/>
        </w:rPr>
      </w:pPr>
    </w:p>
    <w:p w14:paraId="4B231259" w14:textId="77777777" w:rsidR="0089474F" w:rsidRPr="0089474F" w:rsidRDefault="0089474F" w:rsidP="0089474F">
      <w:pPr>
        <w:rPr>
          <w:rFonts w:ascii="Noto Sans" w:eastAsia="Times New Roman" w:hAnsi="Noto Sans" w:cs="Noto Sans"/>
          <w:b/>
          <w:bCs/>
          <w:color w:val="11698C"/>
        </w:rPr>
      </w:pPr>
      <w:r w:rsidRPr="0089474F">
        <w:rPr>
          <w:rFonts w:ascii="Noto Sans" w:eastAsia="Times New Roman" w:hAnsi="Noto Sans" w:cs="Noto Sans"/>
          <w:b/>
          <w:bCs/>
          <w:color w:val="11698C"/>
        </w:rPr>
        <w:t>Recommendations for How to Fund Low-Income Students</w:t>
      </w:r>
    </w:p>
    <w:p w14:paraId="1B83AC16" w14:textId="77777777" w:rsidR="0089474F" w:rsidRPr="0089474F" w:rsidRDefault="0089474F" w:rsidP="00D70F18">
      <w:pPr>
        <w:jc w:val="both"/>
        <w:rPr>
          <w:rFonts w:ascii="Noto Sans" w:eastAsia="Times New Roman" w:hAnsi="Noto Sans" w:cs="Noto Sans"/>
          <w:color w:val="000000" w:themeColor="text1"/>
        </w:rPr>
      </w:pPr>
      <w:r w:rsidRPr="0089474F">
        <w:rPr>
          <w:rFonts w:ascii="Noto Sans" w:eastAsia="Times New Roman" w:hAnsi="Noto Sans" w:cs="Noto Sans"/>
          <w:color w:val="000000" w:themeColor="text1"/>
        </w:rPr>
        <w:t xml:space="preserve">States should adopt targeted funding policies that direct funds to students from low-income households. </w:t>
      </w:r>
    </w:p>
    <w:p w14:paraId="256D93F9" w14:textId="77777777" w:rsidR="0089474F" w:rsidRPr="0089474F" w:rsidRDefault="0089474F" w:rsidP="0089474F">
      <w:pPr>
        <w:rPr>
          <w:rFonts w:ascii="Noto Sans" w:eastAsia="Times New Roman" w:hAnsi="Noto Sans" w:cs="Noto Sans"/>
          <w:color w:val="000000" w:themeColor="text1"/>
        </w:rPr>
      </w:pPr>
    </w:p>
    <w:p w14:paraId="77D271F9" w14:textId="77777777" w:rsidR="0089474F" w:rsidRPr="0089474F" w:rsidRDefault="0089474F" w:rsidP="0089474F">
      <w:pPr>
        <w:pStyle w:val="ListParagraph"/>
        <w:numPr>
          <w:ilvl w:val="0"/>
          <w:numId w:val="3"/>
        </w:numPr>
        <w:jc w:val="both"/>
        <w:rPr>
          <w:rFonts w:ascii="Noto Sans" w:eastAsia="Times New Roman" w:hAnsi="Noto Sans" w:cs="Noto Sans"/>
        </w:rPr>
      </w:pPr>
      <w:r w:rsidRPr="0089474F">
        <w:rPr>
          <w:rFonts w:ascii="Noto Sans" w:eastAsia="Times New Roman" w:hAnsi="Noto Sans" w:cs="Noto Sans"/>
          <w:b/>
          <w:bCs/>
          <w:color w:val="11698C"/>
        </w:rPr>
        <w:t>Adopt Progressive Funding Formulas:</w:t>
      </w:r>
      <w:r w:rsidRPr="0089474F">
        <w:rPr>
          <w:rFonts w:ascii="Noto Sans" w:eastAsia="Times New Roman" w:hAnsi="Noto Sans" w:cs="Noto Sans"/>
          <w:color w:val="11698C"/>
        </w:rPr>
        <w:t xml:space="preserve"> </w:t>
      </w:r>
      <w:r w:rsidRPr="0089474F">
        <w:rPr>
          <w:rFonts w:ascii="Noto Sans" w:eastAsia="Times New Roman" w:hAnsi="Noto Sans" w:cs="Noto Sans"/>
        </w:rPr>
        <w:t xml:space="preserve">States should utilize weighted funding formulas that proportionately allocate resources to schools with low-income students and districts with high concentrations of poverty. </w:t>
      </w:r>
    </w:p>
    <w:p w14:paraId="5F6B5856" w14:textId="77777777" w:rsidR="0089474F" w:rsidRPr="0089474F" w:rsidRDefault="0089474F" w:rsidP="0089474F">
      <w:pPr>
        <w:pStyle w:val="ListParagraph"/>
        <w:numPr>
          <w:ilvl w:val="0"/>
          <w:numId w:val="3"/>
        </w:numPr>
        <w:jc w:val="both"/>
        <w:rPr>
          <w:rFonts w:ascii="Noto Sans" w:eastAsia="Times New Roman" w:hAnsi="Noto Sans" w:cs="Noto Sans"/>
          <w:color w:val="000000" w:themeColor="text1"/>
        </w:rPr>
      </w:pPr>
      <w:r w:rsidRPr="0089474F">
        <w:rPr>
          <w:rFonts w:ascii="Noto Sans" w:eastAsia="Times New Roman" w:hAnsi="Noto Sans" w:cs="Noto Sans"/>
          <w:b/>
          <w:bCs/>
          <w:color w:val="11698C"/>
        </w:rPr>
        <w:t>Increase Funding for High-Poverty Districts:</w:t>
      </w:r>
      <w:r w:rsidRPr="0089474F">
        <w:rPr>
          <w:rFonts w:ascii="Noto Sans" w:eastAsia="Times New Roman" w:hAnsi="Noto Sans" w:cs="Noto Sans"/>
          <w:color w:val="11698C"/>
        </w:rPr>
        <w:t xml:space="preserve"> </w:t>
      </w:r>
      <w:r w:rsidRPr="0089474F">
        <w:rPr>
          <w:rFonts w:ascii="Noto Sans" w:eastAsia="Times New Roman" w:hAnsi="Noto Sans" w:cs="Noto Sans"/>
          <w:color w:val="000000" w:themeColor="text1"/>
        </w:rPr>
        <w:t>State policy should provide substantially more funds for students in concentrated poverty areas where community conditions require extra resources. Evidence from California’s Local Control Funding Formula (LCFF) shows that targeted concentration grants led to significant academic gains (Lafortune et al., 2023).</w:t>
      </w:r>
    </w:p>
    <w:p w14:paraId="3428D740" w14:textId="77777777" w:rsidR="0089474F" w:rsidRPr="0089474F" w:rsidRDefault="0089474F" w:rsidP="0089474F">
      <w:pPr>
        <w:pStyle w:val="ListParagraph"/>
        <w:numPr>
          <w:ilvl w:val="0"/>
          <w:numId w:val="3"/>
        </w:numPr>
        <w:jc w:val="both"/>
        <w:rPr>
          <w:rFonts w:ascii="Noto Sans" w:eastAsia="Times New Roman" w:hAnsi="Noto Sans" w:cs="Noto Sans"/>
        </w:rPr>
      </w:pPr>
      <w:r w:rsidRPr="0089474F">
        <w:rPr>
          <w:rFonts w:ascii="Noto Sans" w:eastAsia="Times New Roman" w:hAnsi="Noto Sans" w:cs="Noto Sans"/>
          <w:b/>
          <w:bCs/>
          <w:color w:val="11698C"/>
        </w:rPr>
        <w:t>Ensure Sustained Multi-Year Investment:</w:t>
      </w:r>
      <w:r w:rsidRPr="0089474F">
        <w:rPr>
          <w:rFonts w:ascii="Noto Sans" w:eastAsia="Times New Roman" w:hAnsi="Noto Sans" w:cs="Noto Sans"/>
          <w:color w:val="11698C"/>
        </w:rPr>
        <w:t xml:space="preserve"> </w:t>
      </w:r>
      <w:r w:rsidRPr="0089474F">
        <w:rPr>
          <w:rFonts w:ascii="Noto Sans" w:eastAsia="Times New Roman" w:hAnsi="Noto Sans" w:cs="Noto Sans"/>
        </w:rPr>
        <w:t xml:space="preserve">Since achievement gains phase in gradually as students are exposed to higher resource levels over their time in K-12 education, funding increases must be sustained over multiple years to see full results. </w:t>
      </w:r>
    </w:p>
    <w:p w14:paraId="1DD67D55" w14:textId="77777777" w:rsidR="0089474F" w:rsidRPr="0089474F" w:rsidRDefault="0089474F" w:rsidP="0089474F">
      <w:pPr>
        <w:rPr>
          <w:rFonts w:ascii="Noto Sans" w:eastAsia="Times New Roman" w:hAnsi="Noto Sans" w:cs="Noto Sans"/>
          <w:b/>
          <w:bCs/>
          <w:color w:val="000000" w:themeColor="text1"/>
        </w:rPr>
      </w:pPr>
    </w:p>
    <w:p w14:paraId="4892D981" w14:textId="77777777" w:rsidR="0089474F" w:rsidRPr="0089474F" w:rsidRDefault="0089474F" w:rsidP="0089474F">
      <w:pPr>
        <w:rPr>
          <w:rFonts w:ascii="Noto Sans" w:eastAsia="Times New Roman" w:hAnsi="Noto Sans" w:cs="Noto Sans"/>
          <w:b/>
          <w:bCs/>
          <w:color w:val="000000" w:themeColor="text1"/>
        </w:rPr>
      </w:pPr>
      <w:r w:rsidRPr="0089474F">
        <w:rPr>
          <w:rFonts w:ascii="Noto Sans" w:eastAsia="Times New Roman" w:hAnsi="Noto Sans" w:cs="Noto Sans"/>
          <w:b/>
          <w:bCs/>
          <w:color w:val="11698C"/>
        </w:rPr>
        <w:t>Conclusion</w:t>
      </w:r>
    </w:p>
    <w:p w14:paraId="44AF0979" w14:textId="77777777" w:rsidR="0089474F" w:rsidRPr="0089474F" w:rsidRDefault="0089474F" w:rsidP="0089474F">
      <w:pPr>
        <w:jc w:val="both"/>
        <w:rPr>
          <w:rFonts w:ascii="Noto Sans" w:eastAsia="Times New Roman" w:hAnsi="Noto Sans" w:cs="Noto Sans"/>
          <w:color w:val="000000" w:themeColor="text1"/>
        </w:rPr>
      </w:pPr>
      <w:r w:rsidRPr="0089474F">
        <w:rPr>
          <w:rFonts w:ascii="Noto Sans" w:eastAsia="Times New Roman" w:hAnsi="Noto Sans" w:cs="Noto Sans"/>
          <w:color w:val="000000" w:themeColor="text1"/>
        </w:rPr>
        <w:t>Rigorous research confirms that state policies aggressively targeting funding to low-income students successfully narrow achievement gaps and yield high returns on investment in educational attainment.</w:t>
      </w:r>
    </w:p>
    <w:p w14:paraId="0A0B381C" w14:textId="77777777" w:rsidR="0089474F" w:rsidRPr="0089474F" w:rsidRDefault="0089474F" w:rsidP="0089474F">
      <w:pPr>
        <w:rPr>
          <w:rFonts w:ascii="Noto Sans" w:eastAsia="Times New Roman" w:hAnsi="Noto Sans" w:cs="Noto Sans"/>
          <w:color w:val="000000" w:themeColor="text1"/>
        </w:rPr>
      </w:pPr>
    </w:p>
    <w:p w14:paraId="6B7432C8" w14:textId="77777777" w:rsidR="0089474F" w:rsidRPr="0089474F" w:rsidRDefault="0089474F" w:rsidP="0089474F">
      <w:pPr>
        <w:rPr>
          <w:rFonts w:ascii="Noto Sans" w:eastAsia="Times New Roman" w:hAnsi="Noto Sans" w:cs="Noto Sans"/>
          <w:b/>
          <w:bCs/>
          <w:color w:val="000000" w:themeColor="text1"/>
        </w:rPr>
      </w:pPr>
    </w:p>
    <w:p w14:paraId="79B6D78E" w14:textId="77777777" w:rsidR="0089474F" w:rsidRDefault="0089474F" w:rsidP="0089474F">
      <w:pPr>
        <w:rPr>
          <w:rFonts w:ascii="Noto Sans" w:eastAsia="Times New Roman" w:hAnsi="Noto Sans" w:cs="Noto Sans"/>
          <w:b/>
          <w:bCs/>
          <w:color w:val="000000" w:themeColor="text1"/>
        </w:rPr>
      </w:pPr>
    </w:p>
    <w:p w14:paraId="015089B5" w14:textId="77777777" w:rsidR="0089474F" w:rsidRDefault="0089474F" w:rsidP="0089474F">
      <w:pPr>
        <w:rPr>
          <w:rFonts w:ascii="Noto Sans" w:eastAsia="Times New Roman" w:hAnsi="Noto Sans" w:cs="Noto Sans"/>
          <w:b/>
          <w:bCs/>
          <w:color w:val="000000" w:themeColor="text1"/>
        </w:rPr>
      </w:pPr>
    </w:p>
    <w:p w14:paraId="13D8BCC9" w14:textId="77777777" w:rsidR="0089474F" w:rsidRDefault="0089474F" w:rsidP="0089474F">
      <w:pPr>
        <w:rPr>
          <w:rFonts w:ascii="Noto Sans" w:eastAsia="Times New Roman" w:hAnsi="Noto Sans" w:cs="Noto Sans"/>
          <w:b/>
          <w:bCs/>
          <w:color w:val="000000" w:themeColor="text1"/>
        </w:rPr>
      </w:pPr>
    </w:p>
    <w:p w14:paraId="32687D83" w14:textId="77777777" w:rsidR="0089474F" w:rsidRDefault="0089474F" w:rsidP="0089474F">
      <w:pPr>
        <w:rPr>
          <w:rFonts w:ascii="Noto Sans" w:eastAsia="Times New Roman" w:hAnsi="Noto Sans" w:cs="Noto Sans"/>
          <w:b/>
          <w:bCs/>
          <w:color w:val="000000" w:themeColor="text1"/>
        </w:rPr>
      </w:pPr>
    </w:p>
    <w:p w14:paraId="3F68D0B5" w14:textId="77777777" w:rsidR="0089474F" w:rsidRDefault="0089474F" w:rsidP="0089474F">
      <w:pPr>
        <w:rPr>
          <w:rFonts w:ascii="Noto Sans" w:eastAsia="Times New Roman" w:hAnsi="Noto Sans" w:cs="Noto Sans"/>
          <w:b/>
          <w:bCs/>
          <w:color w:val="000000" w:themeColor="text1"/>
        </w:rPr>
      </w:pPr>
    </w:p>
    <w:p w14:paraId="42FE97F1" w14:textId="77777777" w:rsidR="0089474F" w:rsidRDefault="0089474F" w:rsidP="0089474F">
      <w:pPr>
        <w:rPr>
          <w:rFonts w:ascii="Noto Sans" w:eastAsia="Times New Roman" w:hAnsi="Noto Sans" w:cs="Noto Sans"/>
          <w:b/>
          <w:bCs/>
          <w:color w:val="000000" w:themeColor="text1"/>
        </w:rPr>
      </w:pPr>
    </w:p>
    <w:p w14:paraId="793414E5" w14:textId="77777777" w:rsidR="0089474F" w:rsidRDefault="0089474F" w:rsidP="0089474F">
      <w:pPr>
        <w:rPr>
          <w:rFonts w:ascii="Noto Sans" w:eastAsia="Times New Roman" w:hAnsi="Noto Sans" w:cs="Noto Sans"/>
          <w:b/>
          <w:bCs/>
          <w:color w:val="000000" w:themeColor="text1"/>
        </w:rPr>
      </w:pPr>
    </w:p>
    <w:p w14:paraId="4C948823" w14:textId="5E127EC4" w:rsidR="0089474F" w:rsidRPr="0089474F" w:rsidRDefault="0089474F" w:rsidP="0089474F">
      <w:pPr>
        <w:rPr>
          <w:rFonts w:ascii="Noto Sans" w:eastAsia="Times New Roman" w:hAnsi="Noto Sans" w:cs="Noto Sans"/>
          <w:b/>
          <w:bCs/>
          <w:color w:val="11698C"/>
        </w:rPr>
      </w:pPr>
      <w:r w:rsidRPr="0089474F">
        <w:rPr>
          <w:rFonts w:ascii="Noto Sans" w:eastAsia="Times New Roman" w:hAnsi="Noto Sans" w:cs="Noto Sans"/>
          <w:b/>
          <w:bCs/>
          <w:color w:val="11698C"/>
        </w:rPr>
        <w:lastRenderedPageBreak/>
        <w:t>References</w:t>
      </w:r>
    </w:p>
    <w:p w14:paraId="51E17E92" w14:textId="77777777" w:rsidR="0089474F" w:rsidRDefault="0089474F" w:rsidP="0089474F">
      <w:pPr>
        <w:rPr>
          <w:rFonts w:ascii="Noto Sans" w:eastAsia="Times New Roman" w:hAnsi="Noto Sans" w:cs="Noto Sans"/>
          <w:i/>
          <w:iCs/>
          <w:color w:val="000000" w:themeColor="text1"/>
        </w:rPr>
      </w:pPr>
      <w:r w:rsidRPr="0089474F">
        <w:rPr>
          <w:rFonts w:ascii="Noto Sans" w:eastAsia="Times New Roman" w:hAnsi="Noto Sans" w:cs="Noto Sans"/>
          <w:color w:val="000000" w:themeColor="text1"/>
        </w:rPr>
        <w:t xml:space="preserve">Education Commission of the States. (2021, October). </w:t>
      </w:r>
      <w:r w:rsidRPr="0089474F">
        <w:rPr>
          <w:rFonts w:ascii="Noto Sans" w:eastAsia="Times New Roman" w:hAnsi="Noto Sans" w:cs="Noto Sans"/>
          <w:i/>
          <w:iCs/>
          <w:color w:val="000000" w:themeColor="text1"/>
        </w:rPr>
        <w:t>K–12 and special education</w:t>
      </w:r>
    </w:p>
    <w:p w14:paraId="0262F237" w14:textId="77777777" w:rsidR="0089474F" w:rsidRDefault="0089474F" w:rsidP="0089474F">
      <w:pPr>
        <w:ind w:firstLine="720"/>
        <w:rPr>
          <w:rFonts w:ascii="Noto Sans" w:eastAsia="Times New Roman" w:hAnsi="Noto Sans" w:cs="Noto Sans"/>
          <w:color w:val="000000" w:themeColor="text1"/>
        </w:rPr>
      </w:pPr>
      <w:r w:rsidRPr="0089474F">
        <w:rPr>
          <w:rFonts w:ascii="Noto Sans" w:eastAsia="Times New Roman" w:hAnsi="Noto Sans" w:cs="Noto Sans"/>
          <w:i/>
          <w:iCs/>
          <w:color w:val="000000" w:themeColor="text1"/>
        </w:rPr>
        <w:t>funding:</w:t>
      </w:r>
      <w:r>
        <w:rPr>
          <w:rFonts w:ascii="Noto Sans" w:eastAsia="Times New Roman" w:hAnsi="Noto Sans" w:cs="Noto Sans"/>
          <w:color w:val="000000" w:themeColor="text1"/>
        </w:rPr>
        <w:t xml:space="preserve"> </w:t>
      </w:r>
      <w:r w:rsidRPr="0089474F">
        <w:rPr>
          <w:rFonts w:ascii="Noto Sans" w:eastAsia="Times New Roman" w:hAnsi="Noto Sans" w:cs="Noto Sans"/>
          <w:i/>
          <w:iCs/>
          <w:color w:val="000000" w:themeColor="text1"/>
        </w:rPr>
        <w:t>Funding for students from low-income backgrounds</w:t>
      </w:r>
      <w:r w:rsidRPr="0089474F">
        <w:rPr>
          <w:rFonts w:ascii="Noto Sans" w:eastAsia="Times New Roman" w:hAnsi="Noto Sans" w:cs="Noto Sans"/>
          <w:color w:val="000000" w:themeColor="text1"/>
        </w:rPr>
        <w:t>. Education</w:t>
      </w:r>
    </w:p>
    <w:p w14:paraId="63F4DA9B" w14:textId="51194863" w:rsidR="0089474F" w:rsidRPr="0089474F" w:rsidRDefault="0089474F" w:rsidP="0089474F">
      <w:pPr>
        <w:ind w:left="720"/>
        <w:rPr>
          <w:rFonts w:ascii="Noto Sans" w:eastAsia="Times New Roman" w:hAnsi="Noto Sans" w:cs="Noto Sans"/>
          <w:color w:val="000000" w:themeColor="text1"/>
        </w:rPr>
      </w:pPr>
      <w:r w:rsidRPr="0089474F">
        <w:rPr>
          <w:rFonts w:ascii="Noto Sans" w:eastAsia="Times New Roman" w:hAnsi="Noto Sans" w:cs="Noto Sans"/>
          <w:color w:val="000000" w:themeColor="text1"/>
        </w:rPr>
        <w:t xml:space="preserve">Commission of the States. </w:t>
      </w:r>
      <w:hyperlink r:id="rId7" w:history="1">
        <w:r w:rsidRPr="000C4A13">
          <w:rPr>
            <w:rStyle w:val="Hyperlink"/>
            <w:rFonts w:ascii="Noto Sans" w:eastAsia="Times New Roman" w:hAnsi="Noto Sans" w:cs="Noto Sans"/>
          </w:rPr>
          <w:t>https://reports.ecs.org/comparisons/k-12-and-special-education-funding-06</w:t>
        </w:r>
      </w:hyperlink>
    </w:p>
    <w:p w14:paraId="11E1E7B4" w14:textId="77777777" w:rsidR="0089474F" w:rsidRDefault="0089474F" w:rsidP="0089474F">
      <w:pPr>
        <w:rPr>
          <w:rFonts w:ascii="Noto Sans" w:eastAsia="Times New Roman" w:hAnsi="Noto Sans" w:cs="Noto Sans"/>
        </w:rPr>
      </w:pPr>
      <w:r w:rsidRPr="0089474F">
        <w:rPr>
          <w:rFonts w:ascii="Noto Sans" w:eastAsia="Times New Roman" w:hAnsi="Noto Sans" w:cs="Noto Sans"/>
        </w:rPr>
        <w:t>Jackson, C. K., &amp; Mackevicius, C. L. (2024). What impacts can we expect from school</w:t>
      </w:r>
    </w:p>
    <w:p w14:paraId="0A638CED" w14:textId="77777777" w:rsidR="0089474F" w:rsidRDefault="0089474F" w:rsidP="0089474F">
      <w:pPr>
        <w:ind w:firstLine="720"/>
        <w:rPr>
          <w:rFonts w:ascii="Noto Sans" w:eastAsia="Times New Roman" w:hAnsi="Noto Sans" w:cs="Noto Sans"/>
          <w:i/>
          <w:iCs/>
        </w:rPr>
      </w:pPr>
      <w:r w:rsidRPr="0089474F">
        <w:rPr>
          <w:rFonts w:ascii="Noto Sans" w:eastAsia="Times New Roman" w:hAnsi="Noto Sans" w:cs="Noto Sans"/>
        </w:rPr>
        <w:t>Spending</w:t>
      </w:r>
      <w:r>
        <w:rPr>
          <w:rFonts w:ascii="Noto Sans" w:hAnsi="Noto Sans" w:cs="Noto Sans"/>
        </w:rPr>
        <w:t xml:space="preserve"> </w:t>
      </w:r>
      <w:r w:rsidRPr="0089474F">
        <w:rPr>
          <w:rFonts w:ascii="Noto Sans" w:eastAsia="Times New Roman" w:hAnsi="Noto Sans" w:cs="Noto Sans"/>
        </w:rPr>
        <w:t xml:space="preserve">policy? Evidence from evaluations in the United States. </w:t>
      </w:r>
      <w:r w:rsidRPr="0089474F">
        <w:rPr>
          <w:rFonts w:ascii="Noto Sans" w:eastAsia="Times New Roman" w:hAnsi="Noto Sans" w:cs="Noto Sans"/>
          <w:i/>
          <w:iCs/>
        </w:rPr>
        <w:t>American</w:t>
      </w:r>
    </w:p>
    <w:p w14:paraId="3B64CE4D" w14:textId="0A200B70" w:rsidR="0089474F" w:rsidRPr="0089474F" w:rsidRDefault="0089474F" w:rsidP="0089474F">
      <w:pPr>
        <w:ind w:firstLine="720"/>
        <w:rPr>
          <w:rFonts w:ascii="Noto Sans" w:hAnsi="Noto Sans" w:cs="Noto Sans"/>
        </w:rPr>
      </w:pPr>
      <w:r w:rsidRPr="0089474F">
        <w:rPr>
          <w:rFonts w:ascii="Noto Sans" w:eastAsia="Times New Roman" w:hAnsi="Noto Sans" w:cs="Noto Sans"/>
          <w:i/>
          <w:iCs/>
        </w:rPr>
        <w:t>Economic Journal: Applied Economics,</w:t>
      </w:r>
      <w:r w:rsidRPr="0089474F">
        <w:rPr>
          <w:rFonts w:ascii="Noto Sans" w:eastAsia="Times New Roman" w:hAnsi="Noto Sans" w:cs="Noto Sans"/>
        </w:rPr>
        <w:t xml:space="preserve"> </w:t>
      </w:r>
      <w:r w:rsidRPr="0089474F">
        <w:rPr>
          <w:rFonts w:ascii="Noto Sans" w:eastAsia="Times New Roman" w:hAnsi="Noto Sans" w:cs="Noto Sans"/>
          <w:i/>
          <w:iCs/>
        </w:rPr>
        <w:t>16</w:t>
      </w:r>
      <w:r w:rsidRPr="0089474F">
        <w:rPr>
          <w:rFonts w:ascii="Noto Sans" w:eastAsia="Times New Roman" w:hAnsi="Noto Sans" w:cs="Noto Sans"/>
        </w:rPr>
        <w:t>(1): 412-446.</w:t>
      </w:r>
    </w:p>
    <w:p w14:paraId="711FC3B6" w14:textId="77777777" w:rsidR="0089474F" w:rsidRDefault="0089474F" w:rsidP="0089474F">
      <w:pPr>
        <w:rPr>
          <w:rFonts w:ascii="Noto Sans" w:eastAsia="Times New Roman" w:hAnsi="Noto Sans" w:cs="Noto Sans"/>
          <w:lang w:val="en"/>
        </w:rPr>
      </w:pPr>
      <w:r w:rsidRPr="0089474F">
        <w:rPr>
          <w:rFonts w:ascii="Noto Sans" w:eastAsia="Times New Roman" w:hAnsi="Noto Sans" w:cs="Noto Sans"/>
          <w:lang w:val="en"/>
        </w:rPr>
        <w:t>Lafortune, J., Herrera, J., &amp; Gao, N.  (2023). Examining the reach of targeted school</w:t>
      </w:r>
    </w:p>
    <w:p w14:paraId="50A2817E" w14:textId="494982B3" w:rsidR="0089474F" w:rsidRPr="0089474F" w:rsidRDefault="0089474F" w:rsidP="0089474F">
      <w:pPr>
        <w:ind w:left="720"/>
        <w:rPr>
          <w:rFonts w:ascii="Noto Sans" w:eastAsia="Times New Roman" w:hAnsi="Noto Sans" w:cs="Noto Sans"/>
          <w:lang w:val="en"/>
        </w:rPr>
      </w:pPr>
      <w:r w:rsidRPr="0089474F">
        <w:rPr>
          <w:rFonts w:ascii="Noto Sans" w:eastAsia="Times New Roman" w:hAnsi="Noto Sans" w:cs="Noto Sans"/>
          <w:lang w:val="en"/>
        </w:rPr>
        <w:t>funding.</w:t>
      </w:r>
      <w:r>
        <w:rPr>
          <w:rFonts w:ascii="Noto Sans" w:eastAsia="Times New Roman" w:hAnsi="Noto Sans" w:cs="Noto Sans"/>
          <w:lang w:val="en"/>
        </w:rPr>
        <w:t xml:space="preserve"> </w:t>
      </w:r>
      <w:r w:rsidRPr="0089474F">
        <w:rPr>
          <w:rFonts w:ascii="Noto Sans" w:eastAsia="Times New Roman" w:hAnsi="Noto Sans" w:cs="Noto Sans"/>
          <w:i/>
          <w:iCs/>
          <w:lang w:val="en"/>
        </w:rPr>
        <w:t>Public Policy Institute of California</w:t>
      </w:r>
      <w:r w:rsidRPr="0089474F">
        <w:rPr>
          <w:rFonts w:ascii="Noto Sans" w:eastAsia="Times New Roman" w:hAnsi="Noto Sans" w:cs="Noto Sans"/>
          <w:lang w:val="en"/>
        </w:rPr>
        <w:t xml:space="preserve">. </w:t>
      </w:r>
      <w:hyperlink r:id="rId8" w:history="1">
        <w:r w:rsidRPr="000C4A13">
          <w:rPr>
            <w:rStyle w:val="Hyperlink"/>
            <w:rFonts w:ascii="Noto Sans" w:eastAsia="Times New Roman" w:hAnsi="Noto Sans" w:cs="Noto Sans"/>
            <w:lang w:val="en"/>
          </w:rPr>
          <w:t>https://www.ppic.org/wp-content/uploads/policy-brief-examining-the-reach-of-targeted-school-funding.pdf</w:t>
        </w:r>
      </w:hyperlink>
      <w:r w:rsidRPr="0089474F">
        <w:rPr>
          <w:rFonts w:ascii="Noto Sans" w:eastAsia="Times New Roman" w:hAnsi="Noto Sans" w:cs="Noto Sans"/>
          <w:lang w:val="en"/>
        </w:rPr>
        <w:t xml:space="preserve"> </w:t>
      </w:r>
    </w:p>
    <w:p w14:paraId="6F555AE9" w14:textId="77777777" w:rsidR="0089474F" w:rsidRDefault="0089474F" w:rsidP="0089474F">
      <w:pPr>
        <w:rPr>
          <w:rFonts w:ascii="Noto Sans" w:eastAsia="Times New Roman" w:hAnsi="Noto Sans" w:cs="Noto Sans"/>
          <w:lang w:val="en"/>
        </w:rPr>
      </w:pPr>
      <w:r w:rsidRPr="0089474F">
        <w:rPr>
          <w:rFonts w:ascii="Noto Sans" w:eastAsia="Times New Roman" w:hAnsi="Noto Sans" w:cs="Noto Sans"/>
          <w:lang w:val="en"/>
        </w:rPr>
        <w:t>Lafortune, J., Rothstein, J., &amp; Schanzenbach, D. W. (2018). School finance reform</w:t>
      </w:r>
    </w:p>
    <w:p w14:paraId="751B5F50" w14:textId="77777777" w:rsidR="0089474F" w:rsidRDefault="0089474F" w:rsidP="0089474F">
      <w:pPr>
        <w:ind w:firstLine="720"/>
        <w:rPr>
          <w:rFonts w:ascii="Noto Sans" w:eastAsia="Times New Roman" w:hAnsi="Noto Sans" w:cs="Noto Sans"/>
          <w:i/>
          <w:iCs/>
          <w:lang w:val="en"/>
        </w:rPr>
      </w:pPr>
      <w:r w:rsidRPr="0089474F">
        <w:rPr>
          <w:rFonts w:ascii="Noto Sans" w:eastAsia="Times New Roman" w:hAnsi="Noto Sans" w:cs="Noto Sans"/>
          <w:lang w:val="en"/>
        </w:rPr>
        <w:t>and the</w:t>
      </w:r>
      <w:r>
        <w:rPr>
          <w:rFonts w:ascii="Noto Sans" w:hAnsi="Noto Sans" w:cs="Noto Sans"/>
        </w:rPr>
        <w:t xml:space="preserve"> </w:t>
      </w:r>
      <w:r w:rsidRPr="0089474F">
        <w:rPr>
          <w:rFonts w:ascii="Noto Sans" w:eastAsia="Times New Roman" w:hAnsi="Noto Sans" w:cs="Noto Sans"/>
          <w:lang w:val="en"/>
        </w:rPr>
        <w:t xml:space="preserve">distribution of student achievement. </w:t>
      </w:r>
      <w:r w:rsidRPr="0089474F">
        <w:rPr>
          <w:rFonts w:ascii="Noto Sans" w:eastAsia="Times New Roman" w:hAnsi="Noto Sans" w:cs="Noto Sans"/>
          <w:i/>
          <w:iCs/>
          <w:lang w:val="en"/>
        </w:rPr>
        <w:t>American Economic Journal:</w:t>
      </w:r>
    </w:p>
    <w:p w14:paraId="3712E4BD" w14:textId="255CD31A" w:rsidR="0089474F" w:rsidRPr="0089474F" w:rsidRDefault="0089474F" w:rsidP="0089474F">
      <w:pPr>
        <w:ind w:firstLine="720"/>
        <w:rPr>
          <w:rFonts w:ascii="Noto Sans" w:hAnsi="Noto Sans" w:cs="Noto Sans"/>
        </w:rPr>
      </w:pPr>
      <w:r w:rsidRPr="0089474F">
        <w:rPr>
          <w:rFonts w:ascii="Noto Sans" w:eastAsia="Times New Roman" w:hAnsi="Noto Sans" w:cs="Noto Sans"/>
          <w:i/>
          <w:iCs/>
          <w:lang w:val="en"/>
        </w:rPr>
        <w:t>Applied Economics,</w:t>
      </w:r>
      <w:r w:rsidRPr="0089474F">
        <w:rPr>
          <w:rFonts w:ascii="Noto Sans" w:eastAsia="Times New Roman" w:hAnsi="Noto Sans" w:cs="Noto Sans"/>
          <w:lang w:val="en"/>
        </w:rPr>
        <w:t xml:space="preserve"> </w:t>
      </w:r>
      <w:r w:rsidRPr="0089474F">
        <w:rPr>
          <w:rFonts w:ascii="Noto Sans" w:eastAsia="Times New Roman" w:hAnsi="Noto Sans" w:cs="Noto Sans"/>
          <w:i/>
          <w:iCs/>
          <w:lang w:val="en"/>
        </w:rPr>
        <w:t>10</w:t>
      </w:r>
      <w:r w:rsidRPr="0089474F">
        <w:rPr>
          <w:rFonts w:ascii="Noto Sans" w:eastAsia="Times New Roman" w:hAnsi="Noto Sans" w:cs="Noto Sans"/>
          <w:lang w:val="en"/>
        </w:rPr>
        <w:t>(2): 1-26.</w:t>
      </w:r>
    </w:p>
    <w:p w14:paraId="0F14000B" w14:textId="77777777" w:rsidR="0089474F" w:rsidRDefault="0089474F" w:rsidP="0089474F">
      <w:pPr>
        <w:rPr>
          <w:rFonts w:ascii="Noto Sans" w:eastAsia="Times New Roman" w:hAnsi="Noto Sans" w:cs="Noto Sans"/>
          <w:lang w:val="en"/>
        </w:rPr>
      </w:pPr>
      <w:r w:rsidRPr="0089474F">
        <w:rPr>
          <w:rFonts w:ascii="Noto Sans" w:eastAsia="Times New Roman" w:hAnsi="Noto Sans" w:cs="Noto Sans"/>
          <w:lang w:val="en"/>
        </w:rPr>
        <w:t>Rauscher, E., &amp; Shen, Y. (2022). Variation in the relationship between school</w:t>
      </w:r>
    </w:p>
    <w:p w14:paraId="391C430F" w14:textId="77777777" w:rsidR="0089474F" w:rsidRDefault="0089474F" w:rsidP="0089474F">
      <w:pPr>
        <w:ind w:firstLine="720"/>
        <w:rPr>
          <w:rFonts w:ascii="Noto Sans" w:eastAsia="Times New Roman" w:hAnsi="Noto Sans" w:cs="Noto Sans"/>
          <w:i/>
          <w:iCs/>
          <w:lang w:val="en"/>
        </w:rPr>
      </w:pPr>
      <w:r w:rsidRPr="0089474F">
        <w:rPr>
          <w:rFonts w:ascii="Noto Sans" w:eastAsia="Times New Roman" w:hAnsi="Noto Sans" w:cs="Noto Sans"/>
          <w:lang w:val="en"/>
        </w:rPr>
        <w:t>spending and</w:t>
      </w:r>
      <w:r>
        <w:rPr>
          <w:rFonts w:ascii="Noto Sans" w:hAnsi="Noto Sans" w:cs="Noto Sans"/>
        </w:rPr>
        <w:t xml:space="preserve"> </w:t>
      </w:r>
      <w:r w:rsidRPr="0089474F">
        <w:rPr>
          <w:rFonts w:ascii="Noto Sans" w:eastAsia="Times New Roman" w:hAnsi="Noto Sans" w:cs="Noto Sans"/>
          <w:lang w:val="en"/>
        </w:rPr>
        <w:t xml:space="preserve">achievement: Progressive spending is efficient. </w:t>
      </w:r>
      <w:r w:rsidRPr="0089474F">
        <w:rPr>
          <w:rFonts w:ascii="Noto Sans" w:eastAsia="Times New Roman" w:hAnsi="Noto Sans" w:cs="Noto Sans"/>
          <w:i/>
          <w:iCs/>
          <w:lang w:val="en"/>
        </w:rPr>
        <w:t>American</w:t>
      </w:r>
    </w:p>
    <w:p w14:paraId="055521FB" w14:textId="2FA71D50" w:rsidR="001C78D5" w:rsidRPr="0089474F" w:rsidRDefault="0089474F" w:rsidP="0089474F">
      <w:pPr>
        <w:ind w:firstLine="720"/>
        <w:rPr>
          <w:rFonts w:ascii="Noto Sans" w:hAnsi="Noto Sans" w:cs="Noto Sans"/>
        </w:rPr>
      </w:pPr>
      <w:r w:rsidRPr="0089474F">
        <w:rPr>
          <w:rFonts w:ascii="Noto Sans" w:eastAsia="Times New Roman" w:hAnsi="Noto Sans" w:cs="Noto Sans"/>
          <w:i/>
          <w:iCs/>
          <w:lang w:val="en"/>
        </w:rPr>
        <w:t>Journal of Sociology,</w:t>
      </w:r>
      <w:r w:rsidRPr="0089474F">
        <w:rPr>
          <w:rFonts w:ascii="Noto Sans" w:eastAsia="Times New Roman" w:hAnsi="Noto Sans" w:cs="Noto Sans"/>
          <w:lang w:val="en"/>
        </w:rPr>
        <w:t xml:space="preserve"> </w:t>
      </w:r>
      <w:r w:rsidRPr="0089474F">
        <w:rPr>
          <w:rFonts w:ascii="Noto Sans" w:eastAsia="Times New Roman" w:hAnsi="Noto Sans" w:cs="Noto Sans"/>
          <w:i/>
          <w:iCs/>
          <w:lang w:val="en"/>
        </w:rPr>
        <w:t>128</w:t>
      </w:r>
      <w:r w:rsidRPr="0089474F">
        <w:rPr>
          <w:rFonts w:ascii="Noto Sans" w:eastAsia="Times New Roman" w:hAnsi="Noto Sans" w:cs="Noto Sans"/>
          <w:lang w:val="en"/>
        </w:rPr>
        <w:t>(1): 189-223.</w:t>
      </w:r>
    </w:p>
    <w:p w14:paraId="2AD0E851" w14:textId="77777777" w:rsidR="001C78D5" w:rsidRPr="00C9415B" w:rsidRDefault="001C78D5" w:rsidP="057F7CE2">
      <w:pPr>
        <w:rPr>
          <w:rFonts w:ascii="Noto Sans Kannada" w:eastAsia="Times New Roman" w:hAnsi="Noto Sans Kannada" w:cs="Noto Sans Kannada"/>
          <w:color w:val="000000" w:themeColor="text1"/>
        </w:rPr>
      </w:pPr>
    </w:p>
    <w:sectPr w:rsidR="001C78D5" w:rsidRPr="00C9415B" w:rsidSect="00964743">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5B3D" w14:textId="77777777" w:rsidR="00965988" w:rsidRDefault="00965988" w:rsidP="00C9415B">
      <w:r>
        <w:separator/>
      </w:r>
    </w:p>
  </w:endnote>
  <w:endnote w:type="continuationSeparator" w:id="0">
    <w:p w14:paraId="4E8BA7A4" w14:textId="77777777" w:rsidR="00965988" w:rsidRDefault="00965988" w:rsidP="00C9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Kannada">
    <w:panose1 w:val="020B0502040504020204"/>
    <w:charset w:val="00"/>
    <w:family w:val="swiss"/>
    <w:pitch w:val="variable"/>
    <w:sig w:usb0="80408003" w:usb1="00002042" w:usb2="00000000" w:usb3="00000000" w:csb0="00000001" w:csb1="00000000"/>
  </w:font>
  <w:font w:name="Noto Sans">
    <w:panose1 w:val="020B0502040504020204"/>
    <w:charset w:val="00"/>
    <w:family w:val="swiss"/>
    <w:pitch w:val="variable"/>
    <w:sig w:usb0="E00002FF" w:usb1="4000201F" w:usb2="08000029" w:usb3="00000000" w:csb0="0000019F" w:csb1="00000000"/>
  </w:font>
  <w:font w:name="Noto Serif">
    <w:panose1 w:val="02020600060500020200"/>
    <w:charset w:val="00"/>
    <w:family w:val="roman"/>
    <w:pitch w:val="variable"/>
    <w:sig w:usb0="E00002FF" w:usb1="5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00CA" w14:textId="24BC1DE2" w:rsidR="00C9415B" w:rsidRDefault="00C9415B" w:rsidP="00C9415B">
    <w:pPr>
      <w:pStyle w:val="Footer"/>
      <w:jc w:val="right"/>
    </w:pPr>
    <w:r>
      <w:rPr>
        <w:noProof/>
      </w:rPr>
      <w:drawing>
        <wp:inline distT="0" distB="0" distL="0" distR="0" wp14:anchorId="5FD32AC3" wp14:editId="3A6B0DE2">
          <wp:extent cx="768542" cy="156110"/>
          <wp:effectExtent l="0" t="0" r="0" b="0"/>
          <wp:docPr id="1785296412" name="Picture 3"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96412" name="Picture 3"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V="1">
                    <a:off x="0" y="0"/>
                    <a:ext cx="852023" cy="173067"/>
                  </a:xfrm>
                  <a:prstGeom prst="rect">
                    <a:avLst/>
                  </a:prstGeom>
                </pic:spPr>
              </pic:pic>
            </a:graphicData>
          </a:graphic>
        </wp:inline>
      </w:drawing>
    </w:r>
  </w:p>
  <w:p w14:paraId="4E35E536" w14:textId="77777777" w:rsidR="00C9415B" w:rsidRDefault="00C9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4FBB" w14:textId="77777777" w:rsidR="00965988" w:rsidRDefault="00965988" w:rsidP="00C9415B">
      <w:r>
        <w:separator/>
      </w:r>
    </w:p>
  </w:footnote>
  <w:footnote w:type="continuationSeparator" w:id="0">
    <w:p w14:paraId="457A2516" w14:textId="77777777" w:rsidR="00965988" w:rsidRDefault="00965988" w:rsidP="00C9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699A" w14:textId="69752A61" w:rsidR="00C9415B" w:rsidRDefault="00C9415B">
    <w:pPr>
      <w:pStyle w:val="Header"/>
    </w:pPr>
  </w:p>
  <w:p w14:paraId="790D8787" w14:textId="77777777" w:rsidR="00C9415B" w:rsidRDefault="00C9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2C80" w14:textId="4EE7AC45" w:rsidR="00964743" w:rsidRDefault="00964743">
    <w:pPr>
      <w:pStyle w:val="Header"/>
    </w:pPr>
    <w:r>
      <w:rPr>
        <w:noProof/>
      </w:rPr>
      <w:drawing>
        <wp:inline distT="0" distB="0" distL="0" distR="0" wp14:anchorId="28C8B586" wp14:editId="36E8A315">
          <wp:extent cx="1206365" cy="904774"/>
          <wp:effectExtent l="0" t="0" r="0" b="0"/>
          <wp:docPr id="1414334287" name="Picture 1" descr="A logo with a light bulb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4287" name="Picture 1" descr="A logo with a light bulb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7493" cy="91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8F6F"/>
    <w:multiLevelType w:val="hybridMultilevel"/>
    <w:tmpl w:val="8D348286"/>
    <w:lvl w:ilvl="0" w:tplc="AECA137A">
      <w:start w:val="1"/>
      <w:numFmt w:val="decimal"/>
      <w:lvlText w:val="%1."/>
      <w:lvlJc w:val="left"/>
      <w:pPr>
        <w:ind w:left="720" w:hanging="360"/>
      </w:pPr>
    </w:lvl>
    <w:lvl w:ilvl="1" w:tplc="6D9A1E16">
      <w:start w:val="1"/>
      <w:numFmt w:val="lowerLetter"/>
      <w:lvlText w:val="%2."/>
      <w:lvlJc w:val="left"/>
      <w:pPr>
        <w:ind w:left="1440" w:hanging="360"/>
      </w:pPr>
    </w:lvl>
    <w:lvl w:ilvl="2" w:tplc="7E8AF7CE">
      <w:start w:val="1"/>
      <w:numFmt w:val="lowerRoman"/>
      <w:lvlText w:val="%3."/>
      <w:lvlJc w:val="right"/>
      <w:pPr>
        <w:ind w:left="2160" w:hanging="180"/>
      </w:pPr>
    </w:lvl>
    <w:lvl w:ilvl="3" w:tplc="662ACEB6">
      <w:start w:val="1"/>
      <w:numFmt w:val="decimal"/>
      <w:lvlText w:val="%4."/>
      <w:lvlJc w:val="left"/>
      <w:pPr>
        <w:ind w:left="2880" w:hanging="360"/>
      </w:pPr>
    </w:lvl>
    <w:lvl w:ilvl="4" w:tplc="D0B2DFD2">
      <w:start w:val="1"/>
      <w:numFmt w:val="lowerLetter"/>
      <w:lvlText w:val="%5."/>
      <w:lvlJc w:val="left"/>
      <w:pPr>
        <w:ind w:left="3600" w:hanging="360"/>
      </w:pPr>
    </w:lvl>
    <w:lvl w:ilvl="5" w:tplc="1C84530C">
      <w:start w:val="1"/>
      <w:numFmt w:val="lowerRoman"/>
      <w:lvlText w:val="%6."/>
      <w:lvlJc w:val="right"/>
      <w:pPr>
        <w:ind w:left="4320" w:hanging="180"/>
      </w:pPr>
    </w:lvl>
    <w:lvl w:ilvl="6" w:tplc="73B687E2">
      <w:start w:val="1"/>
      <w:numFmt w:val="decimal"/>
      <w:lvlText w:val="%7."/>
      <w:lvlJc w:val="left"/>
      <w:pPr>
        <w:ind w:left="5040" w:hanging="360"/>
      </w:pPr>
    </w:lvl>
    <w:lvl w:ilvl="7" w:tplc="7256CDBE">
      <w:start w:val="1"/>
      <w:numFmt w:val="lowerLetter"/>
      <w:lvlText w:val="%8."/>
      <w:lvlJc w:val="left"/>
      <w:pPr>
        <w:ind w:left="5760" w:hanging="360"/>
      </w:pPr>
    </w:lvl>
    <w:lvl w:ilvl="8" w:tplc="87DEB060">
      <w:start w:val="1"/>
      <w:numFmt w:val="lowerRoman"/>
      <w:lvlText w:val="%9."/>
      <w:lvlJc w:val="right"/>
      <w:pPr>
        <w:ind w:left="6480" w:hanging="180"/>
      </w:pPr>
    </w:lvl>
  </w:abstractNum>
  <w:abstractNum w:abstractNumId="1" w15:restartNumberingAfterBreak="0">
    <w:nsid w:val="5460355A"/>
    <w:multiLevelType w:val="hybridMultilevel"/>
    <w:tmpl w:val="47C83E8E"/>
    <w:lvl w:ilvl="0" w:tplc="563CA314">
      <w:start w:val="1"/>
      <w:numFmt w:val="bullet"/>
      <w:lvlText w:val=""/>
      <w:lvlJc w:val="left"/>
      <w:pPr>
        <w:ind w:left="720" w:hanging="360"/>
      </w:pPr>
      <w:rPr>
        <w:rFonts w:ascii="Symbol" w:hAnsi="Symbol" w:hint="default"/>
      </w:rPr>
    </w:lvl>
    <w:lvl w:ilvl="1" w:tplc="CD68949E">
      <w:start w:val="1"/>
      <w:numFmt w:val="bullet"/>
      <w:lvlText w:val="o"/>
      <w:lvlJc w:val="left"/>
      <w:pPr>
        <w:ind w:left="1440" w:hanging="360"/>
      </w:pPr>
      <w:rPr>
        <w:rFonts w:ascii="Courier New" w:hAnsi="Courier New" w:hint="default"/>
      </w:rPr>
    </w:lvl>
    <w:lvl w:ilvl="2" w:tplc="D602B860">
      <w:start w:val="1"/>
      <w:numFmt w:val="bullet"/>
      <w:lvlText w:val=""/>
      <w:lvlJc w:val="left"/>
      <w:pPr>
        <w:ind w:left="2160" w:hanging="360"/>
      </w:pPr>
      <w:rPr>
        <w:rFonts w:ascii="Wingdings" w:hAnsi="Wingdings" w:hint="default"/>
      </w:rPr>
    </w:lvl>
    <w:lvl w:ilvl="3" w:tplc="CCE89242">
      <w:start w:val="1"/>
      <w:numFmt w:val="bullet"/>
      <w:lvlText w:val=""/>
      <w:lvlJc w:val="left"/>
      <w:pPr>
        <w:ind w:left="2880" w:hanging="360"/>
      </w:pPr>
      <w:rPr>
        <w:rFonts w:ascii="Symbol" w:hAnsi="Symbol" w:hint="default"/>
      </w:rPr>
    </w:lvl>
    <w:lvl w:ilvl="4" w:tplc="60A06FAA">
      <w:start w:val="1"/>
      <w:numFmt w:val="bullet"/>
      <w:lvlText w:val="o"/>
      <w:lvlJc w:val="left"/>
      <w:pPr>
        <w:ind w:left="3600" w:hanging="360"/>
      </w:pPr>
      <w:rPr>
        <w:rFonts w:ascii="Courier New" w:hAnsi="Courier New" w:hint="default"/>
      </w:rPr>
    </w:lvl>
    <w:lvl w:ilvl="5" w:tplc="2962200A">
      <w:start w:val="1"/>
      <w:numFmt w:val="bullet"/>
      <w:lvlText w:val=""/>
      <w:lvlJc w:val="left"/>
      <w:pPr>
        <w:ind w:left="4320" w:hanging="360"/>
      </w:pPr>
      <w:rPr>
        <w:rFonts w:ascii="Wingdings" w:hAnsi="Wingdings" w:hint="default"/>
      </w:rPr>
    </w:lvl>
    <w:lvl w:ilvl="6" w:tplc="A710C288">
      <w:start w:val="1"/>
      <w:numFmt w:val="bullet"/>
      <w:lvlText w:val=""/>
      <w:lvlJc w:val="left"/>
      <w:pPr>
        <w:ind w:left="5040" w:hanging="360"/>
      </w:pPr>
      <w:rPr>
        <w:rFonts w:ascii="Symbol" w:hAnsi="Symbol" w:hint="default"/>
      </w:rPr>
    </w:lvl>
    <w:lvl w:ilvl="7" w:tplc="6F28BDE2">
      <w:start w:val="1"/>
      <w:numFmt w:val="bullet"/>
      <w:lvlText w:val="o"/>
      <w:lvlJc w:val="left"/>
      <w:pPr>
        <w:ind w:left="5760" w:hanging="360"/>
      </w:pPr>
      <w:rPr>
        <w:rFonts w:ascii="Courier New" w:hAnsi="Courier New" w:hint="default"/>
      </w:rPr>
    </w:lvl>
    <w:lvl w:ilvl="8" w:tplc="3AC04F38">
      <w:start w:val="1"/>
      <w:numFmt w:val="bullet"/>
      <w:lvlText w:val=""/>
      <w:lvlJc w:val="left"/>
      <w:pPr>
        <w:ind w:left="6480" w:hanging="360"/>
      </w:pPr>
      <w:rPr>
        <w:rFonts w:ascii="Wingdings" w:hAnsi="Wingdings" w:hint="default"/>
      </w:rPr>
    </w:lvl>
  </w:abstractNum>
  <w:abstractNum w:abstractNumId="2" w15:restartNumberingAfterBreak="0">
    <w:nsid w:val="64707170"/>
    <w:multiLevelType w:val="hybridMultilevel"/>
    <w:tmpl w:val="16A62588"/>
    <w:lvl w:ilvl="0" w:tplc="36F6D2EC">
      <w:start w:val="1"/>
      <w:numFmt w:val="decimal"/>
      <w:lvlText w:val="%1."/>
      <w:lvlJc w:val="left"/>
      <w:pPr>
        <w:ind w:left="720" w:hanging="360"/>
      </w:pPr>
    </w:lvl>
    <w:lvl w:ilvl="1" w:tplc="280802CC">
      <w:start w:val="1"/>
      <w:numFmt w:val="lowerLetter"/>
      <w:lvlText w:val="%2."/>
      <w:lvlJc w:val="left"/>
      <w:pPr>
        <w:ind w:left="1440" w:hanging="360"/>
      </w:pPr>
    </w:lvl>
    <w:lvl w:ilvl="2" w:tplc="86D2B5F8">
      <w:start w:val="1"/>
      <w:numFmt w:val="lowerRoman"/>
      <w:lvlText w:val="%3."/>
      <w:lvlJc w:val="right"/>
      <w:pPr>
        <w:ind w:left="2160" w:hanging="180"/>
      </w:pPr>
    </w:lvl>
    <w:lvl w:ilvl="3" w:tplc="9EA81B72">
      <w:start w:val="1"/>
      <w:numFmt w:val="decimal"/>
      <w:lvlText w:val="%4."/>
      <w:lvlJc w:val="left"/>
      <w:pPr>
        <w:ind w:left="2880" w:hanging="360"/>
      </w:pPr>
    </w:lvl>
    <w:lvl w:ilvl="4" w:tplc="676AA3EE">
      <w:start w:val="1"/>
      <w:numFmt w:val="lowerLetter"/>
      <w:lvlText w:val="%5."/>
      <w:lvlJc w:val="left"/>
      <w:pPr>
        <w:ind w:left="3600" w:hanging="360"/>
      </w:pPr>
    </w:lvl>
    <w:lvl w:ilvl="5" w:tplc="4A7E1886">
      <w:start w:val="1"/>
      <w:numFmt w:val="lowerRoman"/>
      <w:lvlText w:val="%6."/>
      <w:lvlJc w:val="right"/>
      <w:pPr>
        <w:ind w:left="4320" w:hanging="180"/>
      </w:pPr>
    </w:lvl>
    <w:lvl w:ilvl="6" w:tplc="356834BA">
      <w:start w:val="1"/>
      <w:numFmt w:val="decimal"/>
      <w:lvlText w:val="%7."/>
      <w:lvlJc w:val="left"/>
      <w:pPr>
        <w:ind w:left="5040" w:hanging="360"/>
      </w:pPr>
    </w:lvl>
    <w:lvl w:ilvl="7" w:tplc="2152CB1E">
      <w:start w:val="1"/>
      <w:numFmt w:val="lowerLetter"/>
      <w:lvlText w:val="%8."/>
      <w:lvlJc w:val="left"/>
      <w:pPr>
        <w:ind w:left="5760" w:hanging="360"/>
      </w:pPr>
    </w:lvl>
    <w:lvl w:ilvl="8" w:tplc="E174BF74">
      <w:start w:val="1"/>
      <w:numFmt w:val="lowerRoman"/>
      <w:lvlText w:val="%9."/>
      <w:lvlJc w:val="right"/>
      <w:pPr>
        <w:ind w:left="6480" w:hanging="180"/>
      </w:pPr>
    </w:lvl>
  </w:abstractNum>
  <w:abstractNum w:abstractNumId="3" w15:restartNumberingAfterBreak="0">
    <w:nsid w:val="73F852F1"/>
    <w:multiLevelType w:val="hybridMultilevel"/>
    <w:tmpl w:val="3F68D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480433">
    <w:abstractNumId w:val="0"/>
  </w:num>
  <w:num w:numId="2" w16cid:durableId="1266494504">
    <w:abstractNumId w:val="1"/>
  </w:num>
  <w:num w:numId="3" w16cid:durableId="1946038118">
    <w:abstractNumId w:val="2"/>
  </w:num>
  <w:num w:numId="4" w16cid:durableId="947811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C78D5"/>
    <w:rsid w:val="001D281C"/>
    <w:rsid w:val="002466FF"/>
    <w:rsid w:val="005A699B"/>
    <w:rsid w:val="007E7A83"/>
    <w:rsid w:val="00834765"/>
    <w:rsid w:val="0084269A"/>
    <w:rsid w:val="0089474F"/>
    <w:rsid w:val="00917AC8"/>
    <w:rsid w:val="00964743"/>
    <w:rsid w:val="00965988"/>
    <w:rsid w:val="00A70D61"/>
    <w:rsid w:val="00BA3BD0"/>
    <w:rsid w:val="00C9415B"/>
    <w:rsid w:val="00D1010D"/>
    <w:rsid w:val="00D70F18"/>
    <w:rsid w:val="00ED7819"/>
    <w:rsid w:val="00EE6E42"/>
    <w:rsid w:val="00F87D3D"/>
    <w:rsid w:val="057F7CE2"/>
    <w:rsid w:val="2A7D1B59"/>
    <w:rsid w:val="3AE9B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A7D1B59"/>
    <w:rPr>
      <w:color w:val="0563C1"/>
      <w:u w:val="single"/>
    </w:rPr>
  </w:style>
  <w:style w:type="paragraph" w:styleId="ListParagraph">
    <w:name w:val="List Paragraph"/>
    <w:basedOn w:val="Normal"/>
    <w:uiPriority w:val="34"/>
    <w:qFormat/>
    <w:rsid w:val="2A7D1B59"/>
    <w:pPr>
      <w:ind w:left="720"/>
      <w:contextualSpacing/>
    </w:pPr>
  </w:style>
  <w:style w:type="paragraph" w:styleId="Header">
    <w:name w:val="header"/>
    <w:basedOn w:val="Normal"/>
    <w:link w:val="HeaderChar"/>
    <w:uiPriority w:val="99"/>
    <w:unhideWhenUsed/>
    <w:rsid w:val="00C9415B"/>
    <w:pPr>
      <w:tabs>
        <w:tab w:val="center" w:pos="4680"/>
        <w:tab w:val="right" w:pos="9360"/>
      </w:tabs>
    </w:pPr>
  </w:style>
  <w:style w:type="character" w:customStyle="1" w:styleId="HeaderChar">
    <w:name w:val="Header Char"/>
    <w:basedOn w:val="DefaultParagraphFont"/>
    <w:link w:val="Header"/>
    <w:uiPriority w:val="99"/>
    <w:rsid w:val="00C9415B"/>
  </w:style>
  <w:style w:type="paragraph" w:styleId="Footer">
    <w:name w:val="footer"/>
    <w:basedOn w:val="Normal"/>
    <w:link w:val="FooterChar"/>
    <w:uiPriority w:val="99"/>
    <w:unhideWhenUsed/>
    <w:rsid w:val="00C9415B"/>
    <w:pPr>
      <w:tabs>
        <w:tab w:val="center" w:pos="4680"/>
        <w:tab w:val="right" w:pos="9360"/>
      </w:tabs>
    </w:pPr>
  </w:style>
  <w:style w:type="character" w:customStyle="1" w:styleId="FooterChar">
    <w:name w:val="Footer Char"/>
    <w:basedOn w:val="DefaultParagraphFont"/>
    <w:link w:val="Footer"/>
    <w:uiPriority w:val="99"/>
    <w:rsid w:val="00C9415B"/>
  </w:style>
  <w:style w:type="paragraph" w:styleId="Revision">
    <w:name w:val="Revision"/>
    <w:hidden/>
    <w:uiPriority w:val="99"/>
    <w:semiHidden/>
    <w:rsid w:val="00C9415B"/>
  </w:style>
  <w:style w:type="character" w:styleId="CommentReference">
    <w:name w:val="annotation reference"/>
    <w:basedOn w:val="DefaultParagraphFont"/>
    <w:uiPriority w:val="99"/>
    <w:semiHidden/>
    <w:unhideWhenUsed/>
    <w:rsid w:val="00C9415B"/>
    <w:rPr>
      <w:sz w:val="16"/>
      <w:szCs w:val="16"/>
    </w:rPr>
  </w:style>
  <w:style w:type="paragraph" w:styleId="CommentText">
    <w:name w:val="annotation text"/>
    <w:basedOn w:val="Normal"/>
    <w:link w:val="CommentTextChar"/>
    <w:uiPriority w:val="99"/>
    <w:semiHidden/>
    <w:unhideWhenUsed/>
    <w:rsid w:val="00C9415B"/>
    <w:rPr>
      <w:sz w:val="20"/>
      <w:szCs w:val="20"/>
    </w:rPr>
  </w:style>
  <w:style w:type="character" w:customStyle="1" w:styleId="CommentTextChar">
    <w:name w:val="Comment Text Char"/>
    <w:basedOn w:val="DefaultParagraphFont"/>
    <w:link w:val="CommentText"/>
    <w:uiPriority w:val="99"/>
    <w:semiHidden/>
    <w:rsid w:val="00C9415B"/>
    <w:rPr>
      <w:sz w:val="20"/>
      <w:szCs w:val="20"/>
    </w:rPr>
  </w:style>
  <w:style w:type="paragraph" w:styleId="CommentSubject">
    <w:name w:val="annotation subject"/>
    <w:basedOn w:val="CommentText"/>
    <w:next w:val="CommentText"/>
    <w:link w:val="CommentSubjectChar"/>
    <w:uiPriority w:val="99"/>
    <w:semiHidden/>
    <w:unhideWhenUsed/>
    <w:rsid w:val="00C9415B"/>
    <w:rPr>
      <w:b/>
      <w:bCs/>
    </w:rPr>
  </w:style>
  <w:style w:type="character" w:customStyle="1" w:styleId="CommentSubjectChar">
    <w:name w:val="Comment Subject Char"/>
    <w:basedOn w:val="CommentTextChar"/>
    <w:link w:val="CommentSubject"/>
    <w:uiPriority w:val="99"/>
    <w:semiHidden/>
    <w:rsid w:val="00C9415B"/>
    <w:rPr>
      <w:b/>
      <w:bCs/>
      <w:sz w:val="20"/>
      <w:szCs w:val="20"/>
    </w:rPr>
  </w:style>
  <w:style w:type="character" w:styleId="UnresolvedMention">
    <w:name w:val="Unresolved Mention"/>
    <w:basedOn w:val="DefaultParagraphFont"/>
    <w:uiPriority w:val="99"/>
    <w:rsid w:val="0089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ic.org/wp-content/uploads/policy-brief-examining-the-reach-of-targeted-school-funding.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ports.ecs.org/comparisons/k-12-and-special-education-funding-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697</Words>
  <Characters>4421</Characters>
  <Application>Microsoft Office Word</Application>
  <DocSecurity>0</DocSecurity>
  <Lines>95</Lines>
  <Paragraphs>30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 Sterin</cp:lastModifiedBy>
  <cp:revision>5</cp:revision>
  <dcterms:created xsi:type="dcterms:W3CDTF">2026-03-17T17:11:00Z</dcterms:created>
  <dcterms:modified xsi:type="dcterms:W3CDTF">2026-03-17T21:49:00Z</dcterms:modified>
</cp:coreProperties>
</file>