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85AE" w14:textId="6C23B24F" w:rsidR="057F7CE2" w:rsidRDefault="057F7CE2" w:rsidP="057F7CE2">
      <w:pPr>
        <w:rPr>
          <w:rFonts w:ascii="Noto Sans" w:eastAsia="Times New Roman" w:hAnsi="Noto Sans" w:cs="Noto Sans"/>
          <w:b/>
          <w:bCs/>
        </w:rPr>
      </w:pPr>
    </w:p>
    <w:p w14:paraId="63D68434" w14:textId="77777777" w:rsidR="002A1D78" w:rsidRPr="00314717" w:rsidRDefault="002A1D78" w:rsidP="002A1D78">
      <w:pPr>
        <w:jc w:val="both"/>
        <w:rPr>
          <w:rFonts w:ascii="Noto Sans" w:eastAsia="Times New Roman" w:hAnsi="Noto Sans" w:cs="Noto Sans"/>
          <w:b/>
          <w:bCs/>
          <w:sz w:val="18"/>
          <w:szCs w:val="18"/>
        </w:rPr>
      </w:pPr>
      <w:r w:rsidRPr="00314717">
        <w:rPr>
          <w:rFonts w:ascii="Noto Sans" w:eastAsia="Times New Roman" w:hAnsi="Noto Sans" w:cs="Noto Sans"/>
          <w:b/>
          <w:bCs/>
          <w:sz w:val="18"/>
          <w:szCs w:val="18"/>
        </w:rPr>
        <w:t xml:space="preserve">This one-pager is designed to be white-labeled for use by advocates and policy organizations. You are welcome to keep the </w:t>
      </w:r>
      <w:proofErr w:type="spellStart"/>
      <w:r w:rsidRPr="00314717">
        <w:rPr>
          <w:rFonts w:ascii="Noto Sans" w:eastAsia="Times New Roman" w:hAnsi="Noto Sans" w:cs="Noto Sans"/>
          <w:b/>
          <w:bCs/>
          <w:color w:val="11698C"/>
          <w:sz w:val="18"/>
          <w:szCs w:val="18"/>
        </w:rPr>
        <w:t>EdFund</w:t>
      </w:r>
      <w:proofErr w:type="spellEnd"/>
      <w:r w:rsidRPr="00314717">
        <w:rPr>
          <w:rFonts w:ascii="Noto Sans" w:eastAsia="Times New Roman" w:hAnsi="Noto Sans" w:cs="Noto Sans"/>
          <w:b/>
          <w:bCs/>
          <w:sz w:val="18"/>
          <w:szCs w:val="18"/>
        </w:rPr>
        <w:t xml:space="preserve"> logo, add your organization’s branding alongside it, or replace it entirely when sharing this resource. Our goal is to make these materials as useful as possible for advancing evidence-based school finance policy.</w:t>
      </w:r>
    </w:p>
    <w:p w14:paraId="05FA0676" w14:textId="77777777" w:rsidR="002A1D78" w:rsidRDefault="002A1D78" w:rsidP="057F7CE2">
      <w:pPr>
        <w:rPr>
          <w:rFonts w:ascii="Noto Sans" w:eastAsia="Times New Roman" w:hAnsi="Noto Sans" w:cs="Noto Sans"/>
          <w:b/>
          <w:bCs/>
        </w:rPr>
      </w:pPr>
    </w:p>
    <w:p w14:paraId="7255D14D" w14:textId="4CF9D91D" w:rsidR="002A1D78" w:rsidRPr="002A1D78" w:rsidRDefault="002A1D78" w:rsidP="057F7CE2">
      <w:pPr>
        <w:rPr>
          <w:rFonts w:ascii="Noto Sans" w:eastAsia="Times New Roman" w:hAnsi="Noto Sans" w:cs="Noto Sans"/>
          <w:b/>
          <w:bCs/>
        </w:rPr>
      </w:pPr>
      <w:r>
        <w:rPr>
          <w:rFonts w:ascii="Noto Serif" w:eastAsia="Times New Roman" w:hAnsi="Noto Serif" w:cs="Noto Serif"/>
          <w:noProof/>
          <w:sz w:val="18"/>
          <w:szCs w:val="18"/>
        </w:rPr>
        <mc:AlternateContent>
          <mc:Choice Requires="wps">
            <w:drawing>
              <wp:anchor distT="0" distB="0" distL="114300" distR="114300" simplePos="0" relativeHeight="251659264" behindDoc="0" locked="0" layoutInCell="1" allowOverlap="1" wp14:anchorId="280B0B92" wp14:editId="2FE47C63">
                <wp:simplePos x="0" y="0"/>
                <wp:positionH relativeFrom="margin">
                  <wp:align>center</wp:align>
                </wp:positionH>
                <wp:positionV relativeFrom="paragraph">
                  <wp:posOffset>0</wp:posOffset>
                </wp:positionV>
                <wp:extent cx="5588000" cy="0"/>
                <wp:effectExtent l="0" t="0" r="12700" b="12700"/>
                <wp:wrapNone/>
                <wp:docPr id="793574762" name="Straight Connector 1"/>
                <wp:cNvGraphicFramePr/>
                <a:graphic xmlns:a="http://schemas.openxmlformats.org/drawingml/2006/main">
                  <a:graphicData uri="http://schemas.microsoft.com/office/word/2010/wordprocessingShape">
                    <wps:wsp>
                      <wps:cNvCnPr/>
                      <wps:spPr>
                        <a:xfrm>
                          <a:off x="0" y="0"/>
                          <a:ext cx="5588000" cy="0"/>
                        </a:xfrm>
                        <a:prstGeom prst="line">
                          <a:avLst/>
                        </a:prstGeom>
                        <a:ln>
                          <a:solidFill>
                            <a:srgbClr val="FFAE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FF3EA"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0" to="44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" strokecolor="#ffae3f" strokeweight=".5pt">
                <v:stroke joinstyle="miter"/>
                <w10:wrap anchorx="margin"/>
              </v:line>
            </w:pict>
          </mc:Fallback>
        </mc:AlternateContent>
      </w:r>
    </w:p>
    <w:p w14:paraId="59B61746" w14:textId="4F7AA0B9" w:rsidR="005D1488" w:rsidRPr="002A1D78" w:rsidRDefault="005D1488" w:rsidP="001D0BE3">
      <w:pPr>
        <w:rPr>
          <w:rFonts w:ascii="Noto Sans" w:eastAsia="Times New Roman" w:hAnsi="Noto Sans" w:cs="Noto Sans"/>
          <w:b/>
          <w:bCs/>
          <w:color w:val="11698C"/>
          <w:sz w:val="32"/>
          <w:szCs w:val="32"/>
        </w:rPr>
      </w:pPr>
      <w:r w:rsidRPr="002A1D78">
        <w:rPr>
          <w:rFonts w:ascii="Noto Sans" w:eastAsia="Times New Roman" w:hAnsi="Noto Sans" w:cs="Noto Sans"/>
          <w:b/>
          <w:bCs/>
          <w:color w:val="11698C"/>
          <w:sz w:val="32"/>
          <w:szCs w:val="32"/>
        </w:rPr>
        <w:t>Counting Students</w:t>
      </w:r>
    </w:p>
    <w:p w14:paraId="18E541AF" w14:textId="77777777" w:rsidR="005D1488" w:rsidRPr="002A1D78" w:rsidRDefault="005D1488" w:rsidP="001D0BE3">
      <w:pPr>
        <w:rPr>
          <w:rFonts w:ascii="Noto Sans" w:eastAsia="Times New Roman" w:hAnsi="Noto Sans" w:cs="Noto Sans"/>
          <w:b/>
          <w:bCs/>
        </w:rPr>
      </w:pPr>
    </w:p>
    <w:p w14:paraId="10CEBB6F" w14:textId="3D1B41BF" w:rsidR="001D0BE3" w:rsidRPr="002A1D78" w:rsidRDefault="001D0BE3" w:rsidP="002A1D78">
      <w:pPr>
        <w:jc w:val="both"/>
        <w:rPr>
          <w:rFonts w:ascii="Noto Sans" w:eastAsia="Times New Roman" w:hAnsi="Noto Sans" w:cs="Noto Sans"/>
        </w:rPr>
      </w:pPr>
      <w:r w:rsidRPr="002A1D78">
        <w:rPr>
          <w:rFonts w:ascii="Noto Sans" w:eastAsia="Times New Roman" w:hAnsi="Noto Sans" w:cs="Noto Sans"/>
        </w:rPr>
        <w:t xml:space="preserve">Every state uses district-reported student counts to determine how much state and local funding is allocated to each school district. These counts are critical because, depending on the state’s funding model, they influence the count of students with unique learning challenges, and/or the number of staff that are allotted through the state’s formula. States use one of two primary metrics: student enrollment (the total number of students registered to attend) or student attendance (the number of students actually present on a given day) to count students. </w:t>
      </w:r>
    </w:p>
    <w:p w14:paraId="65F94360" w14:textId="77777777" w:rsidR="001D0BE3" w:rsidRPr="002A1D78" w:rsidRDefault="001D0BE3" w:rsidP="002A1D78">
      <w:pPr>
        <w:jc w:val="both"/>
        <w:rPr>
          <w:rFonts w:ascii="Noto Sans" w:eastAsia="Times New Roman" w:hAnsi="Noto Sans" w:cs="Noto Sans"/>
        </w:rPr>
      </w:pPr>
    </w:p>
    <w:p w14:paraId="269AA09B" w14:textId="77777777" w:rsidR="001D0BE3" w:rsidRPr="002A1D78" w:rsidRDefault="001D0BE3" w:rsidP="002A1D78">
      <w:pPr>
        <w:jc w:val="both"/>
        <w:rPr>
          <w:rFonts w:ascii="Noto Sans" w:eastAsia="Times New Roman" w:hAnsi="Noto Sans" w:cs="Noto Sans"/>
        </w:rPr>
      </w:pPr>
      <w:r w:rsidRPr="002A1D78">
        <w:rPr>
          <w:rFonts w:ascii="Noto Sans" w:eastAsia="Times New Roman" w:hAnsi="Noto Sans" w:cs="Noto Sans"/>
        </w:rPr>
        <w:t>The majority of states have shifted to enrollment-based metrics, such as Average Daily Membership (ADM), because attendance-based metrics like Average Daily Attendance (ADA), have been found to reduce funding for schools serving students with the highest needs. Enrollment-based models fund districts based on the total number of students they must be prepared to instruct, whereas the ADA model ties funding to daily attendance, lowering allocations when students are absent.</w:t>
      </w:r>
    </w:p>
    <w:p w14:paraId="15100EE9" w14:textId="77777777" w:rsidR="001D0BE3" w:rsidRPr="002A1D78" w:rsidRDefault="001D0BE3" w:rsidP="002A1D78">
      <w:pPr>
        <w:jc w:val="both"/>
        <w:rPr>
          <w:rFonts w:ascii="Noto Sans" w:eastAsia="Times New Roman" w:hAnsi="Noto Sans" w:cs="Noto Sans"/>
        </w:rPr>
      </w:pPr>
    </w:p>
    <w:p w14:paraId="2418C7C1" w14:textId="77777777" w:rsidR="001D0BE3" w:rsidRPr="002A1D78" w:rsidRDefault="001D0BE3" w:rsidP="002A1D78">
      <w:pPr>
        <w:jc w:val="both"/>
        <w:rPr>
          <w:rFonts w:ascii="Noto Sans" w:eastAsia="Times New Roman" w:hAnsi="Noto Sans" w:cs="Noto Sans"/>
        </w:rPr>
      </w:pPr>
      <w:r w:rsidRPr="002A1D78">
        <w:rPr>
          <w:rFonts w:ascii="Noto Sans" w:eastAsia="Times New Roman" w:hAnsi="Noto Sans" w:cs="Noto Sans"/>
        </w:rPr>
        <w:t xml:space="preserve">Operationally, proponents of funding schools using attendance counts suggest that this model provides an incentive for school districts to entice students to attend classes. Opponents of attendance counts suggest that the school must incur costs, like preparing lunches, or paying classroom teachers, regardless of whether the student is able to attend school that day. </w:t>
      </w:r>
    </w:p>
    <w:p w14:paraId="65B3F90C" w14:textId="77777777" w:rsidR="001D0BE3" w:rsidRPr="002A1D78" w:rsidRDefault="001D0BE3" w:rsidP="001D0BE3">
      <w:pPr>
        <w:rPr>
          <w:rFonts w:ascii="Noto Sans" w:eastAsia="Times New Roman" w:hAnsi="Noto Sans" w:cs="Noto Sans"/>
        </w:rPr>
      </w:pPr>
    </w:p>
    <w:p w14:paraId="44663B91" w14:textId="77777777" w:rsidR="001D0BE3" w:rsidRPr="002A1D78" w:rsidRDefault="001D0BE3" w:rsidP="005D1488">
      <w:pPr>
        <w:rPr>
          <w:rFonts w:ascii="Noto Sans" w:eastAsia="Times New Roman" w:hAnsi="Noto Sans" w:cs="Noto Sans"/>
          <w:color w:val="11698C"/>
        </w:rPr>
      </w:pPr>
      <w:r w:rsidRPr="002A1D78">
        <w:rPr>
          <w:rFonts w:ascii="Noto Sans" w:eastAsia="Times New Roman" w:hAnsi="Noto Sans" w:cs="Noto Sans"/>
          <w:b/>
          <w:bCs/>
          <w:color w:val="11698C"/>
        </w:rPr>
        <w:t>What the Research Says</w:t>
      </w:r>
    </w:p>
    <w:p w14:paraId="4597FCF6" w14:textId="3C6C22ED" w:rsidR="005D1488" w:rsidRPr="002A1D78" w:rsidRDefault="001D0BE3" w:rsidP="002A1D78">
      <w:pPr>
        <w:jc w:val="both"/>
        <w:rPr>
          <w:rFonts w:ascii="Noto Sans" w:eastAsia="Times New Roman" w:hAnsi="Noto Sans" w:cs="Noto Sans"/>
        </w:rPr>
      </w:pPr>
      <w:r w:rsidRPr="002A1D78">
        <w:rPr>
          <w:rFonts w:ascii="Noto Sans" w:eastAsia="Times New Roman" w:hAnsi="Noto Sans" w:cs="Noto Sans"/>
        </w:rPr>
        <w:t>Research indicates that funding models using ADM promote greater fiscal stability and equity than ADA-based models because attendance is often shaped by external factors such as</w:t>
      </w:r>
      <w:r w:rsidR="002A1D78">
        <w:rPr>
          <w:rFonts w:ascii="Noto Sans" w:eastAsia="Times New Roman" w:hAnsi="Noto Sans" w:cs="Noto Sans"/>
        </w:rPr>
        <w:t xml:space="preserve"> </w:t>
      </w:r>
      <w:r w:rsidRPr="002A1D78">
        <w:rPr>
          <w:rFonts w:ascii="Noto Sans" w:eastAsia="Times New Roman" w:hAnsi="Noto Sans" w:cs="Noto Sans"/>
        </w:rPr>
        <w:t>housing instability, limited access to healthcare, and poverty.</w:t>
      </w:r>
    </w:p>
    <w:p w14:paraId="5B591483" w14:textId="77777777" w:rsidR="005D1488" w:rsidRPr="002A1D78" w:rsidRDefault="005D1488" w:rsidP="005D1488">
      <w:pPr>
        <w:rPr>
          <w:rFonts w:ascii="Noto Sans" w:eastAsia="Times New Roman" w:hAnsi="Noto Sans" w:cs="Noto Sans"/>
        </w:rPr>
      </w:pPr>
    </w:p>
    <w:p w14:paraId="4CF43FAF" w14:textId="2FA4207D" w:rsidR="001D0BE3" w:rsidRPr="002A1D78" w:rsidRDefault="001D0BE3" w:rsidP="002A1D78">
      <w:pPr>
        <w:pStyle w:val="ListParagraph"/>
        <w:numPr>
          <w:ilvl w:val="0"/>
          <w:numId w:val="3"/>
        </w:numPr>
        <w:jc w:val="both"/>
        <w:rPr>
          <w:rFonts w:ascii="Noto Sans" w:eastAsia="Times New Roman" w:hAnsi="Noto Sans" w:cs="Noto Sans"/>
        </w:rPr>
      </w:pPr>
      <w:r w:rsidRPr="002A1D78">
        <w:rPr>
          <w:rFonts w:ascii="Noto Sans" w:eastAsia="Times New Roman" w:hAnsi="Noto Sans" w:cs="Noto Sans"/>
          <w:b/>
          <w:bCs/>
          <w:color w:val="11698C"/>
        </w:rPr>
        <w:t>Penalties for Poverty:</w:t>
      </w:r>
      <w:r w:rsidRPr="002A1D78">
        <w:rPr>
          <w:rFonts w:ascii="Noto Sans" w:eastAsia="Times New Roman" w:hAnsi="Noto Sans" w:cs="Noto Sans"/>
        </w:rPr>
        <w:t xml:space="preserve"> In Texas, a study shows the highest-poverty districts lose approximately 7.4% of their state and local funding due to ADA-based </w:t>
      </w:r>
      <w:r w:rsidRPr="002A1D78">
        <w:rPr>
          <w:rFonts w:ascii="Noto Sans" w:eastAsia="Times New Roman" w:hAnsi="Noto Sans" w:cs="Noto Sans"/>
        </w:rPr>
        <w:lastRenderedPageBreak/>
        <w:t>counts, compared to only 5.3% for low-poverty districts (Knight &amp; Olofson, 2018)</w:t>
      </w:r>
      <w:r w:rsidR="005D1488" w:rsidRPr="002A1D78">
        <w:rPr>
          <w:rFonts w:ascii="Noto Sans" w:eastAsia="Times New Roman" w:hAnsi="Noto Sans" w:cs="Noto Sans"/>
        </w:rPr>
        <w:t>.</w:t>
      </w:r>
    </w:p>
    <w:p w14:paraId="513BF331" w14:textId="467F2C55" w:rsidR="001D0BE3" w:rsidRPr="002A1D78" w:rsidRDefault="001D0BE3" w:rsidP="002A1D78">
      <w:pPr>
        <w:pStyle w:val="ListParagraph"/>
        <w:numPr>
          <w:ilvl w:val="0"/>
          <w:numId w:val="3"/>
        </w:numPr>
        <w:jc w:val="both"/>
        <w:rPr>
          <w:rFonts w:ascii="Noto Sans" w:eastAsia="Times New Roman" w:hAnsi="Noto Sans" w:cs="Noto Sans"/>
          <w:color w:val="000000" w:themeColor="text1"/>
        </w:rPr>
      </w:pPr>
      <w:r w:rsidRPr="002A1D78">
        <w:rPr>
          <w:rFonts w:ascii="Noto Sans" w:eastAsia="Times New Roman" w:hAnsi="Noto Sans" w:cs="Noto Sans"/>
          <w:b/>
          <w:bCs/>
          <w:color w:val="11698C"/>
        </w:rPr>
        <w:t>The "Masking" Effect:</w:t>
      </w:r>
      <w:r w:rsidRPr="002A1D78">
        <w:rPr>
          <w:rFonts w:ascii="Noto Sans" w:eastAsia="Times New Roman" w:hAnsi="Noto Sans" w:cs="Noto Sans"/>
        </w:rPr>
        <w:t xml:space="preserve"> ADA can be a distraction that hides serious attendance issues. One study found that a school with a 90% ADA rate can still have 20% of its students chronically absent. This obscures the needs of the most vulnerable students who may be missing 10% or more of the school year (</w:t>
      </w:r>
      <w:r w:rsidRPr="002A1D78">
        <w:rPr>
          <w:rFonts w:ascii="Noto Sans" w:eastAsia="Times New Roman" w:hAnsi="Noto Sans" w:cs="Noto Sans"/>
          <w:color w:val="000000" w:themeColor="text1"/>
        </w:rPr>
        <w:t>Childs &amp; Lofton, 2021)</w:t>
      </w:r>
      <w:r w:rsidR="005D1488" w:rsidRPr="002A1D78">
        <w:rPr>
          <w:rFonts w:ascii="Noto Sans" w:eastAsia="Times New Roman" w:hAnsi="Noto Sans" w:cs="Noto Sans"/>
          <w:color w:val="000000" w:themeColor="text1"/>
        </w:rPr>
        <w:t>.</w:t>
      </w:r>
    </w:p>
    <w:p w14:paraId="03ED77BF" w14:textId="7C37FFE9" w:rsidR="001D0BE3" w:rsidRPr="002A1D78" w:rsidRDefault="001D0BE3" w:rsidP="002A1D78">
      <w:pPr>
        <w:pStyle w:val="ListParagraph"/>
        <w:numPr>
          <w:ilvl w:val="0"/>
          <w:numId w:val="3"/>
        </w:numPr>
        <w:jc w:val="both"/>
        <w:rPr>
          <w:rFonts w:ascii="Noto Sans" w:eastAsia="Times New Roman" w:hAnsi="Noto Sans" w:cs="Noto Sans"/>
        </w:rPr>
      </w:pPr>
      <w:r w:rsidRPr="002A1D78">
        <w:rPr>
          <w:rFonts w:ascii="Noto Sans" w:eastAsia="Times New Roman" w:hAnsi="Noto Sans" w:cs="Noto Sans"/>
          <w:b/>
          <w:bCs/>
          <w:color w:val="11698C"/>
        </w:rPr>
        <w:t>Inhibiting Innovation:</w:t>
      </w:r>
      <w:r w:rsidRPr="002A1D78">
        <w:rPr>
          <w:rFonts w:ascii="Noto Sans" w:eastAsia="Times New Roman" w:hAnsi="Noto Sans" w:cs="Noto Sans"/>
        </w:rPr>
        <w:t xml:space="preserve"> A study in California found that because ADA models require students to be physically present to generate funding, they create significant barriers to instructional innovations such as competency-based learning, personalized instruction, or hybrid models. Shifting to an enrollment-based model would provide districts more freedom to experiment with these flexible practices for student learning (Hahnel &amp; Baumgardner, 2022)</w:t>
      </w:r>
      <w:r w:rsidR="00374035" w:rsidRPr="002A1D78">
        <w:rPr>
          <w:rFonts w:ascii="Noto Sans" w:eastAsia="Times New Roman" w:hAnsi="Noto Sans" w:cs="Noto Sans"/>
        </w:rPr>
        <w:t>.</w:t>
      </w:r>
    </w:p>
    <w:p w14:paraId="48177ECD" w14:textId="77777777" w:rsidR="001D0BE3" w:rsidRPr="002A1D78" w:rsidRDefault="001D0BE3" w:rsidP="001D0BE3">
      <w:pPr>
        <w:rPr>
          <w:rFonts w:ascii="Noto Sans" w:eastAsia="Times New Roman" w:hAnsi="Noto Sans" w:cs="Noto Sans"/>
        </w:rPr>
      </w:pPr>
    </w:p>
    <w:p w14:paraId="486862F4" w14:textId="77777777" w:rsidR="001D0BE3" w:rsidRPr="002A1D78" w:rsidRDefault="001D0BE3" w:rsidP="001D0BE3">
      <w:pPr>
        <w:rPr>
          <w:rFonts w:ascii="Noto Sans" w:eastAsia="Times New Roman" w:hAnsi="Noto Sans" w:cs="Noto Sans"/>
          <w:color w:val="11698C"/>
        </w:rPr>
      </w:pPr>
      <w:r w:rsidRPr="002A1D78">
        <w:rPr>
          <w:rFonts w:ascii="Noto Sans" w:eastAsia="Times New Roman" w:hAnsi="Noto Sans" w:cs="Noto Sans"/>
          <w:b/>
          <w:bCs/>
          <w:color w:val="11698C"/>
        </w:rPr>
        <w:t>Recommendations for How to Count Students</w:t>
      </w:r>
    </w:p>
    <w:p w14:paraId="67A8F45E" w14:textId="77777777" w:rsidR="001D0BE3" w:rsidRPr="002A1D78" w:rsidRDefault="001D0BE3" w:rsidP="001D0BE3">
      <w:pPr>
        <w:rPr>
          <w:rFonts w:ascii="Noto Sans" w:eastAsia="Times New Roman" w:hAnsi="Noto Sans" w:cs="Noto Sans"/>
        </w:rPr>
      </w:pPr>
      <w:r w:rsidRPr="002A1D78">
        <w:rPr>
          <w:rFonts w:ascii="Noto Sans" w:eastAsia="Times New Roman" w:hAnsi="Noto Sans" w:cs="Noto Sans"/>
        </w:rPr>
        <w:t xml:space="preserve">Based on national trends and policy analysis, states should shift toward enrollment-based count methods that prioritize fiscal stability and student need. Recommendations include: </w:t>
      </w:r>
    </w:p>
    <w:p w14:paraId="38942F1E" w14:textId="77777777" w:rsidR="00374035" w:rsidRPr="002A1D78" w:rsidRDefault="00374035" w:rsidP="001D0BE3">
      <w:pPr>
        <w:rPr>
          <w:rFonts w:ascii="Noto Sans" w:eastAsia="Times New Roman" w:hAnsi="Noto Sans" w:cs="Noto Sans"/>
          <w:b/>
          <w:bCs/>
        </w:rPr>
      </w:pPr>
    </w:p>
    <w:p w14:paraId="57B3B029" w14:textId="1B7D87AC" w:rsidR="001D0BE3" w:rsidRPr="002A1D78" w:rsidRDefault="001D0BE3" w:rsidP="002A1D78">
      <w:pPr>
        <w:pStyle w:val="ListParagraph"/>
        <w:numPr>
          <w:ilvl w:val="0"/>
          <w:numId w:val="1"/>
        </w:numPr>
        <w:jc w:val="both"/>
        <w:rPr>
          <w:rFonts w:ascii="Noto Sans" w:eastAsia="Times New Roman" w:hAnsi="Noto Sans" w:cs="Noto Sans"/>
        </w:rPr>
      </w:pPr>
      <w:r w:rsidRPr="002A1D78">
        <w:rPr>
          <w:rFonts w:ascii="Noto Sans" w:eastAsia="Times New Roman" w:hAnsi="Noto Sans" w:cs="Noto Sans"/>
          <w:b/>
          <w:bCs/>
          <w:color w:val="11698C"/>
        </w:rPr>
        <w:t>Adopt Average Daily Membership (ADM):</w:t>
      </w:r>
      <w:r w:rsidRPr="002A1D78">
        <w:rPr>
          <w:rFonts w:ascii="Noto Sans" w:eastAsia="Times New Roman" w:hAnsi="Noto Sans" w:cs="Noto Sans"/>
        </w:rPr>
        <w:t xml:space="preserve"> Used by </w:t>
      </w:r>
      <w:r w:rsidR="00374035" w:rsidRPr="002A1D78">
        <w:rPr>
          <w:rFonts w:ascii="Noto Sans" w:eastAsia="Times New Roman" w:hAnsi="Noto Sans" w:cs="Noto Sans"/>
        </w:rPr>
        <w:t>twenty-four</w:t>
      </w:r>
      <w:r w:rsidRPr="002A1D78">
        <w:rPr>
          <w:rFonts w:ascii="Noto Sans" w:eastAsia="Times New Roman" w:hAnsi="Noto Sans" w:cs="Noto Sans"/>
        </w:rPr>
        <w:t xml:space="preserve"> states as of 2025, ADM measures enrollment averaged across many days throughout the school year, providing a more reliable count of student enrollment than single-day or limited count approaches still used in </w:t>
      </w:r>
      <w:r w:rsidR="00374035" w:rsidRPr="002A1D78">
        <w:rPr>
          <w:rFonts w:ascii="Noto Sans" w:eastAsia="Times New Roman" w:hAnsi="Noto Sans" w:cs="Noto Sans"/>
        </w:rPr>
        <w:t>twenty-one</w:t>
      </w:r>
      <w:r w:rsidRPr="002A1D78">
        <w:rPr>
          <w:rFonts w:ascii="Noto Sans" w:eastAsia="Times New Roman" w:hAnsi="Noto Sans" w:cs="Noto Sans"/>
        </w:rPr>
        <w:t xml:space="preserve"> states and the District of Columbia.</w:t>
      </w:r>
    </w:p>
    <w:p w14:paraId="2379F1F5" w14:textId="77777777" w:rsidR="001D0BE3" w:rsidRPr="002A1D78" w:rsidRDefault="001D0BE3" w:rsidP="002A1D78">
      <w:pPr>
        <w:pStyle w:val="ListParagraph"/>
        <w:numPr>
          <w:ilvl w:val="0"/>
          <w:numId w:val="1"/>
        </w:numPr>
        <w:jc w:val="both"/>
        <w:rPr>
          <w:rFonts w:ascii="Noto Sans" w:eastAsia="Times New Roman" w:hAnsi="Noto Sans" w:cs="Noto Sans"/>
        </w:rPr>
      </w:pPr>
      <w:r w:rsidRPr="002A1D78">
        <w:rPr>
          <w:rFonts w:ascii="Noto Sans" w:eastAsia="Times New Roman" w:hAnsi="Noto Sans" w:cs="Noto Sans"/>
          <w:b/>
          <w:bCs/>
          <w:color w:val="11698C"/>
        </w:rPr>
        <w:t>Utilize Multiple Count Days:</w:t>
      </w:r>
      <w:r w:rsidRPr="002A1D78">
        <w:rPr>
          <w:rFonts w:ascii="Noto Sans" w:eastAsia="Times New Roman" w:hAnsi="Noto Sans" w:cs="Noto Sans"/>
        </w:rPr>
        <w:t xml:space="preserve"> Using two or more count days (e.g., fall and spring) provides a mid-year adjustment to account for transfers or attrition. This is more accurate than a single-day count and easier to administer than daily tracking.</w:t>
      </w:r>
    </w:p>
    <w:p w14:paraId="18440E69" w14:textId="39CA821D" w:rsidR="001D0BE3" w:rsidRPr="002A1D78" w:rsidRDefault="001D0BE3" w:rsidP="002A1D78">
      <w:pPr>
        <w:pStyle w:val="ListParagraph"/>
        <w:numPr>
          <w:ilvl w:val="0"/>
          <w:numId w:val="1"/>
        </w:numPr>
        <w:jc w:val="both"/>
        <w:rPr>
          <w:rFonts w:ascii="Noto Sans" w:eastAsia="Times New Roman" w:hAnsi="Noto Sans" w:cs="Noto Sans"/>
        </w:rPr>
      </w:pPr>
      <w:r w:rsidRPr="002A1D78">
        <w:rPr>
          <w:rFonts w:ascii="Noto Sans" w:eastAsia="Times New Roman" w:hAnsi="Noto Sans" w:cs="Noto Sans"/>
          <w:b/>
          <w:bCs/>
          <w:color w:val="11698C"/>
        </w:rPr>
        <w:t>Implement "Hold Harmless" Provisions:</w:t>
      </w:r>
      <w:r w:rsidRPr="002A1D78">
        <w:rPr>
          <w:rFonts w:ascii="Noto Sans" w:eastAsia="Times New Roman" w:hAnsi="Noto Sans" w:cs="Noto Sans"/>
          <w:color w:val="11698C"/>
        </w:rPr>
        <w:t xml:space="preserve"> </w:t>
      </w:r>
      <w:r w:rsidRPr="002A1D78">
        <w:rPr>
          <w:rFonts w:ascii="Noto Sans" w:eastAsia="Times New Roman" w:hAnsi="Noto Sans" w:cs="Noto Sans"/>
        </w:rPr>
        <w:t>To protect districts from sudden "fiscal cliffs" due to anomalous attendance drops (such as during a pandemic or natural disaster), states can use prior-year funding guarantees or rolling averages (e.g., a three-year average of counts)</w:t>
      </w:r>
      <w:r w:rsidR="00374035" w:rsidRPr="002A1D78">
        <w:rPr>
          <w:rFonts w:ascii="Noto Sans" w:eastAsia="Times New Roman" w:hAnsi="Noto Sans" w:cs="Noto Sans"/>
        </w:rPr>
        <w:t>.</w:t>
      </w:r>
    </w:p>
    <w:p w14:paraId="05E993C9" w14:textId="77777777" w:rsidR="001D0BE3" w:rsidRPr="002A1D78" w:rsidRDefault="001D0BE3" w:rsidP="001D0BE3">
      <w:pPr>
        <w:rPr>
          <w:rFonts w:ascii="Noto Sans" w:eastAsia="Times New Roman" w:hAnsi="Noto Sans" w:cs="Noto Sans"/>
        </w:rPr>
      </w:pPr>
    </w:p>
    <w:p w14:paraId="6CD73DFD" w14:textId="77777777" w:rsidR="001D0BE3" w:rsidRPr="002A1D78" w:rsidRDefault="001D0BE3" w:rsidP="001D0BE3">
      <w:pPr>
        <w:rPr>
          <w:rFonts w:ascii="Noto Sans" w:eastAsia="Times New Roman" w:hAnsi="Noto Sans" w:cs="Noto Sans"/>
          <w:b/>
          <w:bCs/>
          <w:color w:val="11698C"/>
        </w:rPr>
      </w:pPr>
      <w:r w:rsidRPr="002A1D78">
        <w:rPr>
          <w:rFonts w:ascii="Noto Sans" w:eastAsia="Times New Roman" w:hAnsi="Noto Sans" w:cs="Noto Sans"/>
          <w:b/>
          <w:bCs/>
          <w:color w:val="11698C"/>
        </w:rPr>
        <w:t>Conclusion</w:t>
      </w:r>
    </w:p>
    <w:p w14:paraId="1FF981C9" w14:textId="77777777" w:rsidR="002A1D78" w:rsidRDefault="001D0BE3" w:rsidP="002A1D78">
      <w:pPr>
        <w:jc w:val="both"/>
        <w:rPr>
          <w:rFonts w:ascii="Noto Sans" w:eastAsia="Times New Roman" w:hAnsi="Noto Sans" w:cs="Noto Sans"/>
        </w:rPr>
      </w:pPr>
      <w:r w:rsidRPr="002A1D78">
        <w:rPr>
          <w:rFonts w:ascii="Noto Sans" w:eastAsia="Times New Roman" w:hAnsi="Noto Sans" w:cs="Noto Sans"/>
        </w:rPr>
        <w:t xml:space="preserve">Enrollment-based counting metrics are more stable and accurate than attendance-based metrics. By adopting an ADM model, states provide districts with the predictability needed for multi-year budgeting and staffing, particularly for districts with the highest-need student populations. </w:t>
      </w:r>
    </w:p>
    <w:p w14:paraId="7A1F21F6" w14:textId="11024ABA" w:rsidR="001D0BE3" w:rsidRPr="002A1D78" w:rsidRDefault="001D0BE3" w:rsidP="002A1D78">
      <w:pPr>
        <w:jc w:val="both"/>
        <w:rPr>
          <w:rFonts w:ascii="Noto Sans" w:eastAsia="Times New Roman" w:hAnsi="Noto Sans" w:cs="Noto Sans"/>
          <w:color w:val="11698C"/>
        </w:rPr>
      </w:pPr>
      <w:r w:rsidRPr="002A1D78">
        <w:rPr>
          <w:rFonts w:ascii="Noto Sans" w:eastAsia="Times New Roman" w:hAnsi="Noto Sans" w:cs="Noto Sans"/>
          <w:b/>
          <w:bCs/>
          <w:color w:val="11698C"/>
        </w:rPr>
        <w:lastRenderedPageBreak/>
        <w:t>References</w:t>
      </w:r>
    </w:p>
    <w:p w14:paraId="578C1A9A" w14:textId="77777777" w:rsidR="002A1D78" w:rsidRDefault="001D0BE3" w:rsidP="002A1D78">
      <w:pPr>
        <w:rPr>
          <w:rFonts w:ascii="Noto Sans" w:eastAsia="Times New Roman" w:hAnsi="Noto Sans" w:cs="Noto Sans"/>
          <w:color w:val="000000" w:themeColor="text1"/>
        </w:rPr>
      </w:pPr>
      <w:r w:rsidRPr="002A1D78">
        <w:rPr>
          <w:rFonts w:ascii="Noto Sans" w:eastAsia="Times New Roman" w:hAnsi="Noto Sans" w:cs="Noto Sans"/>
          <w:color w:val="000000" w:themeColor="text1"/>
        </w:rPr>
        <w:t xml:space="preserve">Bellaire, J., O’Keefe, B., &amp; </w:t>
      </w:r>
      <w:proofErr w:type="spellStart"/>
      <w:r w:rsidRPr="002A1D78">
        <w:rPr>
          <w:rFonts w:ascii="Noto Sans" w:eastAsia="Times New Roman" w:hAnsi="Noto Sans" w:cs="Noto Sans"/>
          <w:color w:val="000000" w:themeColor="text1"/>
        </w:rPr>
        <w:t>Dammu</w:t>
      </w:r>
      <w:proofErr w:type="spellEnd"/>
      <w:r w:rsidRPr="002A1D78">
        <w:rPr>
          <w:rFonts w:ascii="Noto Sans" w:eastAsia="Times New Roman" w:hAnsi="Noto Sans" w:cs="Noto Sans"/>
          <w:color w:val="000000" w:themeColor="text1"/>
        </w:rPr>
        <w:t>, I. (2025). How do school finance systems</w:t>
      </w:r>
    </w:p>
    <w:p w14:paraId="60626205" w14:textId="77777777" w:rsidR="002A1D78" w:rsidRDefault="001D0BE3" w:rsidP="002A1D78">
      <w:pPr>
        <w:ind w:firstLine="720"/>
        <w:rPr>
          <w:rFonts w:ascii="Noto Sans" w:eastAsia="Times New Roman" w:hAnsi="Noto Sans" w:cs="Noto Sans"/>
          <w:i/>
          <w:iCs/>
          <w:color w:val="000000" w:themeColor="text1"/>
        </w:rPr>
      </w:pPr>
      <w:r w:rsidRPr="002A1D78">
        <w:rPr>
          <w:rFonts w:ascii="Noto Sans" w:eastAsia="Times New Roman" w:hAnsi="Noto Sans" w:cs="Noto Sans"/>
          <w:color w:val="000000" w:themeColor="text1"/>
        </w:rPr>
        <w:t>respond to</w:t>
      </w:r>
      <w:r w:rsidR="002A1D78">
        <w:rPr>
          <w:rFonts w:ascii="Noto Sans" w:eastAsia="Times New Roman" w:hAnsi="Noto Sans" w:cs="Noto Sans"/>
          <w:color w:val="000000" w:themeColor="text1"/>
        </w:rPr>
        <w:t xml:space="preserve"> </w:t>
      </w:r>
      <w:r w:rsidRPr="002A1D78">
        <w:rPr>
          <w:rFonts w:ascii="Noto Sans" w:eastAsia="Times New Roman" w:hAnsi="Noto Sans" w:cs="Noto Sans"/>
          <w:color w:val="000000" w:themeColor="text1"/>
        </w:rPr>
        <w:t xml:space="preserve">enrollment changes? (Splitting the Bill No. 19). </w:t>
      </w:r>
      <w:r w:rsidRPr="002A1D78">
        <w:rPr>
          <w:rFonts w:ascii="Noto Sans" w:eastAsia="Times New Roman" w:hAnsi="Noto Sans" w:cs="Noto Sans"/>
          <w:i/>
          <w:iCs/>
          <w:color w:val="000000" w:themeColor="text1"/>
        </w:rPr>
        <w:t>Bellwether</w:t>
      </w:r>
    </w:p>
    <w:p w14:paraId="60829D49" w14:textId="570C538E" w:rsidR="001D0BE3" w:rsidRPr="002A1D78" w:rsidRDefault="001D0BE3" w:rsidP="002A1D78">
      <w:pPr>
        <w:ind w:left="720"/>
        <w:rPr>
          <w:rFonts w:ascii="Noto Sans" w:eastAsia="Times New Roman" w:hAnsi="Noto Sans" w:cs="Noto Sans"/>
          <w:i/>
          <w:iCs/>
          <w:color w:val="000000" w:themeColor="text1"/>
        </w:rPr>
      </w:pPr>
      <w:r w:rsidRPr="002A1D78">
        <w:rPr>
          <w:rFonts w:ascii="Noto Sans" w:eastAsia="Times New Roman" w:hAnsi="Noto Sans" w:cs="Noto Sans"/>
          <w:i/>
          <w:iCs/>
          <w:color w:val="000000" w:themeColor="text1"/>
        </w:rPr>
        <w:t>Education</w:t>
      </w:r>
      <w:r w:rsidR="002A1D78">
        <w:rPr>
          <w:rFonts w:ascii="Noto Sans" w:eastAsia="Times New Roman" w:hAnsi="Noto Sans" w:cs="Noto Sans"/>
          <w:i/>
          <w:iCs/>
          <w:color w:val="000000" w:themeColor="text1"/>
        </w:rPr>
        <w:t xml:space="preserve"> </w:t>
      </w:r>
      <w:r w:rsidRPr="002A1D78">
        <w:rPr>
          <w:rFonts w:ascii="Noto Sans" w:eastAsia="Times New Roman" w:hAnsi="Noto Sans" w:cs="Noto Sans"/>
          <w:i/>
          <w:iCs/>
          <w:color w:val="000000" w:themeColor="text1"/>
        </w:rPr>
        <w:t>Partners.</w:t>
      </w:r>
      <w:r w:rsidR="002A1D78">
        <w:rPr>
          <w:rFonts w:ascii="Noto Sans" w:eastAsia="Times New Roman" w:hAnsi="Noto Sans" w:cs="Noto Sans"/>
          <w:i/>
          <w:iCs/>
          <w:color w:val="000000" w:themeColor="text1"/>
        </w:rPr>
        <w:t xml:space="preserve"> </w:t>
      </w:r>
      <w:hyperlink r:id="rId7" w:history="1">
        <w:r w:rsidR="00702E9B" w:rsidRPr="00B3088C">
          <w:rPr>
            <w:rStyle w:val="Hyperlink"/>
            <w:rFonts w:ascii="Noto Sans" w:eastAsia="Times New Roman" w:hAnsi="Noto Sans" w:cs="Noto Sans"/>
          </w:rPr>
          <w:t>https://bellwether.org/wp-content/uploads/2025/03/SplittingtheBill_19_Bellwether_March2025.pdf</w:t>
        </w:r>
      </w:hyperlink>
      <w:r w:rsidR="00702E9B">
        <w:rPr>
          <w:rFonts w:ascii="Noto Sans" w:eastAsia="Times New Roman" w:hAnsi="Noto Sans" w:cs="Noto Sans"/>
          <w:i/>
          <w:iCs/>
          <w:color w:val="000000" w:themeColor="text1"/>
        </w:rPr>
        <w:t xml:space="preserve"> </w:t>
      </w:r>
    </w:p>
    <w:p w14:paraId="47E52498" w14:textId="77777777" w:rsidR="002A1D78" w:rsidRDefault="001D0BE3" w:rsidP="002A1D78">
      <w:pPr>
        <w:rPr>
          <w:rFonts w:ascii="Noto Sans" w:eastAsia="Times New Roman" w:hAnsi="Noto Sans" w:cs="Noto Sans"/>
          <w:color w:val="000000" w:themeColor="text1"/>
        </w:rPr>
      </w:pPr>
      <w:r w:rsidRPr="002A1D78">
        <w:rPr>
          <w:rFonts w:ascii="Noto Sans" w:eastAsia="Times New Roman" w:hAnsi="Noto Sans" w:cs="Noto Sans"/>
          <w:color w:val="000000" w:themeColor="text1"/>
        </w:rPr>
        <w:t>Childs, J., &amp; Lofton, R. (2021). Masking attendance: How education policy distracts</w:t>
      </w:r>
    </w:p>
    <w:p w14:paraId="3691254C" w14:textId="77777777" w:rsidR="00754D5F" w:rsidRDefault="001D0BE3" w:rsidP="002A1D78">
      <w:pPr>
        <w:ind w:firstLine="720"/>
        <w:rPr>
          <w:rFonts w:ascii="Noto Sans" w:eastAsia="Times New Roman" w:hAnsi="Noto Sans" w:cs="Noto Sans"/>
          <w:i/>
          <w:iCs/>
          <w:color w:val="000000" w:themeColor="text1"/>
        </w:rPr>
      </w:pPr>
      <w:r w:rsidRPr="002A1D78">
        <w:rPr>
          <w:rFonts w:ascii="Noto Sans" w:eastAsia="Times New Roman" w:hAnsi="Noto Sans" w:cs="Noto Sans"/>
          <w:color w:val="000000" w:themeColor="text1"/>
        </w:rPr>
        <w:t>from the</w:t>
      </w:r>
      <w:r w:rsidR="002A1D78">
        <w:rPr>
          <w:rFonts w:ascii="Noto Sans" w:eastAsia="Times New Roman" w:hAnsi="Noto Sans" w:cs="Noto Sans"/>
          <w:color w:val="000000" w:themeColor="text1"/>
        </w:rPr>
        <w:t xml:space="preserve"> </w:t>
      </w:r>
      <w:r w:rsidRPr="002A1D78">
        <w:rPr>
          <w:rFonts w:ascii="Noto Sans" w:eastAsia="Times New Roman" w:hAnsi="Noto Sans" w:cs="Noto Sans"/>
          <w:color w:val="000000" w:themeColor="text1"/>
        </w:rPr>
        <w:t xml:space="preserve">wicked problem(s) of chronic absenteeism. </w:t>
      </w:r>
      <w:r w:rsidRPr="002A1D78">
        <w:rPr>
          <w:rFonts w:ascii="Noto Sans" w:eastAsia="Times New Roman" w:hAnsi="Noto Sans" w:cs="Noto Sans"/>
          <w:i/>
          <w:iCs/>
          <w:color w:val="000000" w:themeColor="text1"/>
        </w:rPr>
        <w:t>Educational Policy,</w:t>
      </w:r>
    </w:p>
    <w:p w14:paraId="51D8261A" w14:textId="273B30AD" w:rsidR="001D0BE3" w:rsidRPr="002A1D78" w:rsidRDefault="001D0BE3" w:rsidP="00754D5F">
      <w:pPr>
        <w:ind w:left="720"/>
        <w:rPr>
          <w:rFonts w:ascii="Noto Sans" w:eastAsia="Times New Roman" w:hAnsi="Noto Sans" w:cs="Noto Sans"/>
          <w:color w:val="000000" w:themeColor="text1"/>
        </w:rPr>
      </w:pPr>
      <w:r w:rsidRPr="002A1D78">
        <w:rPr>
          <w:rFonts w:ascii="Noto Sans" w:eastAsia="Times New Roman" w:hAnsi="Noto Sans" w:cs="Noto Sans"/>
          <w:i/>
          <w:iCs/>
          <w:color w:val="000000" w:themeColor="text1"/>
        </w:rPr>
        <w:t>35</w:t>
      </w:r>
      <w:r w:rsidRPr="002A1D78">
        <w:rPr>
          <w:rFonts w:ascii="Noto Sans" w:eastAsia="Times New Roman" w:hAnsi="Noto Sans" w:cs="Noto Sans"/>
          <w:color w:val="000000" w:themeColor="text1"/>
        </w:rPr>
        <w:t>(2):</w:t>
      </w:r>
      <w:r w:rsidR="00754D5F">
        <w:rPr>
          <w:rFonts w:ascii="Noto Sans" w:eastAsia="Times New Roman" w:hAnsi="Noto Sans" w:cs="Noto Sans"/>
          <w:color w:val="000000" w:themeColor="text1"/>
        </w:rPr>
        <w:t xml:space="preserve"> </w:t>
      </w:r>
      <w:r w:rsidRPr="002A1D78">
        <w:rPr>
          <w:rFonts w:ascii="Noto Sans" w:eastAsia="Times New Roman" w:hAnsi="Noto Sans" w:cs="Noto Sans"/>
          <w:color w:val="000000" w:themeColor="text1"/>
        </w:rPr>
        <w:t>213-234.</w:t>
      </w:r>
    </w:p>
    <w:p w14:paraId="5125ACC3" w14:textId="77777777" w:rsidR="002A1D78" w:rsidRDefault="001D0BE3" w:rsidP="001D0BE3">
      <w:pPr>
        <w:rPr>
          <w:rFonts w:ascii="Noto Sans" w:eastAsia="Times New Roman" w:hAnsi="Noto Sans" w:cs="Noto Sans"/>
          <w:color w:val="000000" w:themeColor="text1"/>
        </w:rPr>
      </w:pPr>
      <w:r w:rsidRPr="002A1D78">
        <w:rPr>
          <w:rFonts w:ascii="Noto Sans" w:eastAsia="Times New Roman" w:hAnsi="Noto Sans" w:cs="Noto Sans"/>
          <w:color w:val="000000" w:themeColor="text1"/>
        </w:rPr>
        <w:t>Hahnel, C., &amp; Baumgardner, C. (2022). Student count options for school funding:</w:t>
      </w:r>
    </w:p>
    <w:p w14:paraId="0F6AB5D8" w14:textId="77777777" w:rsidR="002A1D78" w:rsidRDefault="001D0BE3" w:rsidP="002A1D78">
      <w:pPr>
        <w:ind w:firstLine="720"/>
        <w:rPr>
          <w:rFonts w:ascii="Noto Sans" w:eastAsia="Times New Roman" w:hAnsi="Noto Sans" w:cs="Noto Sans"/>
          <w:i/>
          <w:iCs/>
          <w:color w:val="000000" w:themeColor="text1"/>
        </w:rPr>
      </w:pPr>
      <w:r w:rsidRPr="002A1D78">
        <w:rPr>
          <w:rFonts w:ascii="Noto Sans" w:eastAsia="Times New Roman" w:hAnsi="Noto Sans" w:cs="Noto Sans"/>
          <w:color w:val="000000" w:themeColor="text1"/>
        </w:rPr>
        <w:t>Trade-offs</w:t>
      </w:r>
      <w:r w:rsidR="002A1D78">
        <w:rPr>
          <w:rFonts w:ascii="Noto Sans" w:eastAsia="Times New Roman" w:hAnsi="Noto Sans" w:cs="Noto Sans"/>
          <w:color w:val="000000" w:themeColor="text1"/>
        </w:rPr>
        <w:t xml:space="preserve"> </w:t>
      </w:r>
      <w:r w:rsidRPr="002A1D78">
        <w:rPr>
          <w:rFonts w:ascii="Noto Sans" w:eastAsia="Times New Roman" w:hAnsi="Noto Sans" w:cs="Noto Sans"/>
          <w:color w:val="000000" w:themeColor="text1"/>
        </w:rPr>
        <w:t xml:space="preserve">and policy alternatives for California. </w:t>
      </w:r>
      <w:r w:rsidRPr="002A1D78">
        <w:rPr>
          <w:rFonts w:ascii="Noto Sans" w:eastAsia="Times New Roman" w:hAnsi="Noto Sans" w:cs="Noto Sans"/>
          <w:i/>
          <w:iCs/>
          <w:color w:val="000000" w:themeColor="text1"/>
        </w:rPr>
        <w:t>Policy Analysis for California</w:t>
      </w:r>
    </w:p>
    <w:p w14:paraId="1F1F861D" w14:textId="7B6C0374" w:rsidR="001D0BE3" w:rsidRPr="002A1D78" w:rsidRDefault="001D0BE3" w:rsidP="002A1D78">
      <w:pPr>
        <w:ind w:left="720"/>
        <w:rPr>
          <w:rFonts w:ascii="Noto Sans" w:eastAsia="Times New Roman" w:hAnsi="Noto Sans" w:cs="Noto Sans"/>
          <w:color w:val="000000" w:themeColor="text1"/>
        </w:rPr>
      </w:pPr>
      <w:r w:rsidRPr="002A1D78">
        <w:rPr>
          <w:rFonts w:ascii="Noto Sans" w:eastAsia="Times New Roman" w:hAnsi="Noto Sans" w:cs="Noto Sans"/>
          <w:i/>
          <w:iCs/>
          <w:color w:val="000000" w:themeColor="text1"/>
        </w:rPr>
        <w:t>Education</w:t>
      </w:r>
      <w:r w:rsidRPr="002A1D78">
        <w:rPr>
          <w:rFonts w:ascii="Noto Sans" w:eastAsia="Times New Roman" w:hAnsi="Noto Sans" w:cs="Noto Sans"/>
          <w:color w:val="000000" w:themeColor="text1"/>
        </w:rPr>
        <w:t xml:space="preserve">. </w:t>
      </w:r>
      <w:hyperlink r:id="rId8" w:history="1">
        <w:r w:rsidR="002A1D78" w:rsidRPr="000C4A13">
          <w:rPr>
            <w:rStyle w:val="Hyperlink"/>
            <w:rFonts w:ascii="Noto Sans" w:hAnsi="Noto Sans" w:cs="Noto Sans"/>
          </w:rPr>
          <w:t>https://edpolicyinca.org/publications/student-count-options-school-funding</w:t>
        </w:r>
      </w:hyperlink>
      <w:r w:rsidR="002A1D78">
        <w:rPr>
          <w:rFonts w:ascii="Noto Sans" w:hAnsi="Noto Sans" w:cs="Noto Sans"/>
        </w:rPr>
        <w:t xml:space="preserve"> </w:t>
      </w:r>
    </w:p>
    <w:p w14:paraId="5DE0572E" w14:textId="77777777" w:rsidR="002A1D78" w:rsidRDefault="001D0BE3" w:rsidP="002A1D78">
      <w:pPr>
        <w:rPr>
          <w:rFonts w:ascii="Noto Sans" w:eastAsia="Times New Roman" w:hAnsi="Noto Sans" w:cs="Noto Sans"/>
        </w:rPr>
      </w:pPr>
      <w:r w:rsidRPr="002A1D78">
        <w:rPr>
          <w:rFonts w:ascii="Noto Sans" w:eastAsia="Times New Roman" w:hAnsi="Noto Sans" w:cs="Noto Sans"/>
        </w:rPr>
        <w:t>Knight, D. S., &amp; Olofson, M. (2018). Funding school districts based on student</w:t>
      </w:r>
    </w:p>
    <w:p w14:paraId="6C06678F" w14:textId="77777777" w:rsidR="002A1D78" w:rsidRDefault="001D0BE3" w:rsidP="002A1D78">
      <w:pPr>
        <w:ind w:firstLine="720"/>
        <w:rPr>
          <w:rFonts w:ascii="Noto Sans" w:eastAsia="Times New Roman" w:hAnsi="Noto Sans" w:cs="Noto Sans"/>
        </w:rPr>
      </w:pPr>
      <w:r w:rsidRPr="002A1D78">
        <w:rPr>
          <w:rFonts w:ascii="Noto Sans" w:eastAsia="Times New Roman" w:hAnsi="Noto Sans" w:cs="Noto Sans"/>
        </w:rPr>
        <w:t>attendance:</w:t>
      </w:r>
      <w:r w:rsidR="002A1D78">
        <w:rPr>
          <w:rFonts w:ascii="Noto Sans" w:eastAsia="Times New Roman" w:hAnsi="Noto Sans" w:cs="Noto Sans"/>
        </w:rPr>
        <w:t xml:space="preserve"> </w:t>
      </w:r>
      <w:r w:rsidRPr="002A1D78">
        <w:rPr>
          <w:rFonts w:ascii="Noto Sans" w:eastAsia="Times New Roman" w:hAnsi="Noto Sans" w:cs="Noto Sans"/>
        </w:rPr>
        <w:t>How use of average daily attendance harms school finance</w:t>
      </w:r>
    </w:p>
    <w:p w14:paraId="369A43FE" w14:textId="77777777" w:rsidR="002A1D78" w:rsidRDefault="001D0BE3" w:rsidP="002A1D78">
      <w:pPr>
        <w:ind w:firstLine="720"/>
        <w:rPr>
          <w:rFonts w:ascii="Noto Sans" w:eastAsia="Times New Roman" w:hAnsi="Noto Sans" w:cs="Noto Sans"/>
        </w:rPr>
      </w:pPr>
      <w:r w:rsidRPr="002A1D78">
        <w:rPr>
          <w:rFonts w:ascii="Noto Sans" w:eastAsia="Times New Roman" w:hAnsi="Noto Sans" w:cs="Noto Sans"/>
        </w:rPr>
        <w:t xml:space="preserve">equity in Texas. </w:t>
      </w:r>
      <w:r w:rsidRPr="002A1D78">
        <w:rPr>
          <w:rFonts w:ascii="Noto Sans" w:eastAsia="Times New Roman" w:hAnsi="Noto Sans" w:cs="Noto Sans"/>
          <w:i/>
          <w:iCs/>
        </w:rPr>
        <w:t xml:space="preserve">Center for Education Research and Policy Studies. </w:t>
      </w:r>
      <w:r w:rsidRPr="002A1D78">
        <w:rPr>
          <w:rFonts w:ascii="Noto Sans" w:eastAsia="Times New Roman" w:hAnsi="Noto Sans" w:cs="Noto Sans"/>
        </w:rPr>
        <w:t>University of</w:t>
      </w:r>
    </w:p>
    <w:p w14:paraId="2A77F6F3" w14:textId="3940370F" w:rsidR="001D0BE3" w:rsidRPr="002A1D78" w:rsidRDefault="001D0BE3" w:rsidP="00702E9B">
      <w:pPr>
        <w:ind w:left="720"/>
        <w:rPr>
          <w:rFonts w:ascii="Noto Sans" w:eastAsia="Times New Roman" w:hAnsi="Noto Sans" w:cs="Noto Sans"/>
        </w:rPr>
      </w:pPr>
      <w:r w:rsidRPr="002A1D78">
        <w:rPr>
          <w:rFonts w:ascii="Noto Sans" w:eastAsia="Times New Roman" w:hAnsi="Noto Sans" w:cs="Noto Sans"/>
        </w:rPr>
        <w:t>Texas, El Paso.</w:t>
      </w:r>
      <w:r w:rsidR="00702E9B">
        <w:rPr>
          <w:rFonts w:ascii="Noto Sans" w:eastAsia="Times New Roman" w:hAnsi="Noto Sans" w:cs="Noto Sans"/>
        </w:rPr>
        <w:t xml:space="preserve"> </w:t>
      </w:r>
      <w:hyperlink r:id="rId9" w:history="1">
        <w:r w:rsidR="00702E9B" w:rsidRPr="000C4A13">
          <w:rPr>
            <w:rStyle w:val="Hyperlink"/>
            <w:rFonts w:ascii="Noto Sans" w:eastAsia="Times New Roman" w:hAnsi="Noto Sans" w:cs="Noto Sans"/>
          </w:rPr>
          <w:t>https://www.utep.edu/education/cerps/_files/docs/briefs/cerps_policybrief5_attendance.pdf</w:t>
        </w:r>
      </w:hyperlink>
      <w:r w:rsidR="00702E9B">
        <w:rPr>
          <w:rFonts w:ascii="Noto Sans" w:eastAsia="Times New Roman" w:hAnsi="Noto Sans" w:cs="Noto Sans"/>
        </w:rPr>
        <w:t xml:space="preserve"> </w:t>
      </w:r>
      <w:r w:rsidRPr="002A1D78">
        <w:rPr>
          <w:rFonts w:ascii="Noto Sans" w:eastAsia="Times New Roman" w:hAnsi="Noto Sans" w:cs="Noto Sans"/>
        </w:rPr>
        <w:t xml:space="preserve"> </w:t>
      </w:r>
    </w:p>
    <w:p w14:paraId="4AE30304" w14:textId="77777777" w:rsidR="002F1479" w:rsidRDefault="001D0BE3" w:rsidP="00702E9B">
      <w:pPr>
        <w:rPr>
          <w:rFonts w:ascii="Noto Sans" w:eastAsia="Times New Roman" w:hAnsi="Noto Sans" w:cs="Noto Sans"/>
          <w:color w:val="000000" w:themeColor="text1"/>
        </w:rPr>
      </w:pPr>
      <w:r w:rsidRPr="002A1D78">
        <w:rPr>
          <w:rFonts w:ascii="Noto Sans" w:eastAsia="Times New Roman" w:hAnsi="Noto Sans" w:cs="Noto Sans"/>
          <w:color w:val="000000" w:themeColor="text1"/>
        </w:rPr>
        <w:t>Syverson, E.</w:t>
      </w:r>
      <w:r w:rsidR="002F1479">
        <w:rPr>
          <w:rFonts w:ascii="Noto Sans" w:eastAsia="Times New Roman" w:hAnsi="Noto Sans" w:cs="Noto Sans"/>
          <w:color w:val="000000" w:themeColor="text1"/>
        </w:rPr>
        <w:t xml:space="preserve"> &amp; C. Duncombe</w:t>
      </w:r>
      <w:r w:rsidRPr="002A1D78">
        <w:rPr>
          <w:rFonts w:ascii="Noto Sans" w:eastAsia="Times New Roman" w:hAnsi="Noto Sans" w:cs="Noto Sans"/>
          <w:color w:val="000000" w:themeColor="text1"/>
        </w:rPr>
        <w:t xml:space="preserve"> (2022). Student counts in K–12 funding models.</w:t>
      </w:r>
    </w:p>
    <w:p w14:paraId="2AD0E851" w14:textId="27CA5358" w:rsidR="001C78D5" w:rsidRPr="00DF1BB8" w:rsidRDefault="001D0BE3" w:rsidP="00DF1BB8">
      <w:pPr>
        <w:ind w:left="720"/>
        <w:rPr>
          <w:rFonts w:ascii="Noto Sans" w:eastAsia="Times New Roman" w:hAnsi="Noto Sans" w:cs="Noto Sans"/>
          <w:i/>
          <w:iCs/>
          <w:color w:val="000000" w:themeColor="text1"/>
        </w:rPr>
      </w:pPr>
      <w:r w:rsidRPr="002A1D78">
        <w:rPr>
          <w:rFonts w:ascii="Noto Sans" w:eastAsia="Times New Roman" w:hAnsi="Noto Sans" w:cs="Noto Sans"/>
          <w:i/>
          <w:iCs/>
          <w:color w:val="000000" w:themeColor="text1"/>
        </w:rPr>
        <w:t>Education Commission</w:t>
      </w:r>
      <w:r w:rsidR="002F1479">
        <w:rPr>
          <w:rFonts w:ascii="Noto Sans" w:eastAsia="Times New Roman" w:hAnsi="Noto Sans" w:cs="Noto Sans"/>
          <w:i/>
          <w:iCs/>
          <w:color w:val="000000" w:themeColor="text1"/>
        </w:rPr>
        <w:t xml:space="preserve"> </w:t>
      </w:r>
      <w:r w:rsidRPr="002A1D78">
        <w:rPr>
          <w:rFonts w:ascii="Noto Sans" w:eastAsia="Times New Roman" w:hAnsi="Noto Sans" w:cs="Noto Sans"/>
          <w:i/>
          <w:iCs/>
          <w:color w:val="000000" w:themeColor="text1"/>
        </w:rPr>
        <w:t>of the</w:t>
      </w:r>
      <w:r w:rsidR="00702E9B">
        <w:rPr>
          <w:rFonts w:ascii="Noto Sans" w:eastAsia="Times New Roman" w:hAnsi="Noto Sans" w:cs="Noto Sans"/>
          <w:i/>
          <w:iCs/>
          <w:color w:val="000000" w:themeColor="text1"/>
        </w:rPr>
        <w:t xml:space="preserve"> </w:t>
      </w:r>
      <w:r w:rsidRPr="002A1D78">
        <w:rPr>
          <w:rFonts w:ascii="Noto Sans" w:eastAsia="Times New Roman" w:hAnsi="Noto Sans" w:cs="Noto Sans"/>
          <w:i/>
          <w:iCs/>
          <w:color w:val="000000" w:themeColor="text1"/>
        </w:rPr>
        <w:t>States</w:t>
      </w:r>
      <w:r w:rsidRPr="002A1D78">
        <w:rPr>
          <w:rFonts w:ascii="Noto Sans" w:eastAsia="Times New Roman" w:hAnsi="Noto Sans" w:cs="Noto Sans"/>
          <w:color w:val="000000" w:themeColor="text1"/>
        </w:rPr>
        <w:t xml:space="preserve">. </w:t>
      </w:r>
      <w:hyperlink r:id="rId10" w:history="1">
        <w:r w:rsidR="00B3088C" w:rsidRPr="000C4A13">
          <w:rPr>
            <w:rStyle w:val="Hyperlink"/>
            <w:rFonts w:ascii="Noto Sans" w:eastAsia="Times New Roman" w:hAnsi="Noto Sans" w:cs="Noto Sans"/>
          </w:rPr>
          <w:t>https://www.ecs.org/wp-content/uploads/Student-Counts-in-K-12-Funding-Models.pdf</w:t>
        </w:r>
      </w:hyperlink>
      <w:r w:rsidR="002F1479">
        <w:rPr>
          <w:rFonts w:ascii="Noto Sans" w:eastAsia="Times New Roman" w:hAnsi="Noto Sans" w:cs="Noto Sans"/>
          <w:color w:val="000000" w:themeColor="text1"/>
        </w:rPr>
        <w:t xml:space="preserve"> </w:t>
      </w:r>
    </w:p>
    <w:sectPr w:rsidR="001C78D5" w:rsidRPr="00DF1BB8" w:rsidSect="00964743">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63C7" w14:textId="77777777" w:rsidR="0086783E" w:rsidRDefault="0086783E" w:rsidP="00C9415B">
      <w:r>
        <w:separator/>
      </w:r>
    </w:p>
  </w:endnote>
  <w:endnote w:type="continuationSeparator" w:id="0">
    <w:p w14:paraId="5589329C" w14:textId="77777777" w:rsidR="0086783E" w:rsidRDefault="0086783E" w:rsidP="00C9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erif">
    <w:panose1 w:val="02020600060500020200"/>
    <w:charset w:val="00"/>
    <w:family w:val="roman"/>
    <w:pitch w:val="variable"/>
    <w:sig w:usb0="E00002FF" w:usb1="500078FF" w:usb2="08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00CA" w14:textId="24BC1DE2" w:rsidR="00C9415B" w:rsidRDefault="00C9415B" w:rsidP="00C9415B">
    <w:pPr>
      <w:pStyle w:val="Footer"/>
      <w:jc w:val="right"/>
    </w:pPr>
    <w:r>
      <w:rPr>
        <w:noProof/>
      </w:rPr>
      <w:drawing>
        <wp:inline distT="0" distB="0" distL="0" distR="0" wp14:anchorId="5FD32AC3" wp14:editId="3A6B0DE2">
          <wp:extent cx="768542" cy="156110"/>
          <wp:effectExtent l="0" t="0" r="0" b="0"/>
          <wp:docPr id="1785296412" name="Picture 3"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96412" name="Picture 3"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V="1">
                    <a:off x="0" y="0"/>
                    <a:ext cx="852023" cy="173067"/>
                  </a:xfrm>
                  <a:prstGeom prst="rect">
                    <a:avLst/>
                  </a:prstGeom>
                </pic:spPr>
              </pic:pic>
            </a:graphicData>
          </a:graphic>
        </wp:inline>
      </w:drawing>
    </w:r>
  </w:p>
  <w:p w14:paraId="4E35E536" w14:textId="77777777" w:rsidR="00C9415B" w:rsidRDefault="00C9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2E19" w14:textId="77777777" w:rsidR="0086783E" w:rsidRDefault="0086783E" w:rsidP="00C9415B">
      <w:r>
        <w:separator/>
      </w:r>
    </w:p>
  </w:footnote>
  <w:footnote w:type="continuationSeparator" w:id="0">
    <w:p w14:paraId="1A7006F6" w14:textId="77777777" w:rsidR="0086783E" w:rsidRDefault="0086783E" w:rsidP="00C9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699A" w14:textId="69752A61" w:rsidR="00C9415B" w:rsidRDefault="00C9415B">
    <w:pPr>
      <w:pStyle w:val="Header"/>
    </w:pPr>
  </w:p>
  <w:p w14:paraId="790D8787" w14:textId="77777777" w:rsidR="00C9415B" w:rsidRDefault="00C9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2C80" w14:textId="4EE7AC45" w:rsidR="00964743" w:rsidRDefault="00964743">
    <w:pPr>
      <w:pStyle w:val="Header"/>
    </w:pPr>
    <w:r>
      <w:rPr>
        <w:noProof/>
      </w:rPr>
      <w:drawing>
        <wp:inline distT="0" distB="0" distL="0" distR="0" wp14:anchorId="28C8B586" wp14:editId="36E8A315">
          <wp:extent cx="1206365" cy="904774"/>
          <wp:effectExtent l="0" t="0" r="0" b="0"/>
          <wp:docPr id="1414334287" name="Picture 1" descr="A logo with a light bulb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34287" name="Picture 1" descr="A logo with a light bulb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7493" cy="91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B8F6F"/>
    <w:multiLevelType w:val="hybridMultilevel"/>
    <w:tmpl w:val="8D348286"/>
    <w:lvl w:ilvl="0" w:tplc="AECA137A">
      <w:start w:val="1"/>
      <w:numFmt w:val="decimal"/>
      <w:lvlText w:val="%1."/>
      <w:lvlJc w:val="left"/>
      <w:pPr>
        <w:ind w:left="720" w:hanging="360"/>
      </w:pPr>
    </w:lvl>
    <w:lvl w:ilvl="1" w:tplc="6D9A1E16">
      <w:start w:val="1"/>
      <w:numFmt w:val="lowerLetter"/>
      <w:lvlText w:val="%2."/>
      <w:lvlJc w:val="left"/>
      <w:pPr>
        <w:ind w:left="1440" w:hanging="360"/>
      </w:pPr>
    </w:lvl>
    <w:lvl w:ilvl="2" w:tplc="7E8AF7CE">
      <w:start w:val="1"/>
      <w:numFmt w:val="lowerRoman"/>
      <w:lvlText w:val="%3."/>
      <w:lvlJc w:val="right"/>
      <w:pPr>
        <w:ind w:left="2160" w:hanging="180"/>
      </w:pPr>
    </w:lvl>
    <w:lvl w:ilvl="3" w:tplc="662ACEB6">
      <w:start w:val="1"/>
      <w:numFmt w:val="decimal"/>
      <w:lvlText w:val="%4."/>
      <w:lvlJc w:val="left"/>
      <w:pPr>
        <w:ind w:left="2880" w:hanging="360"/>
      </w:pPr>
    </w:lvl>
    <w:lvl w:ilvl="4" w:tplc="D0B2DFD2">
      <w:start w:val="1"/>
      <w:numFmt w:val="lowerLetter"/>
      <w:lvlText w:val="%5."/>
      <w:lvlJc w:val="left"/>
      <w:pPr>
        <w:ind w:left="3600" w:hanging="360"/>
      </w:pPr>
    </w:lvl>
    <w:lvl w:ilvl="5" w:tplc="1C84530C">
      <w:start w:val="1"/>
      <w:numFmt w:val="lowerRoman"/>
      <w:lvlText w:val="%6."/>
      <w:lvlJc w:val="right"/>
      <w:pPr>
        <w:ind w:left="4320" w:hanging="180"/>
      </w:pPr>
    </w:lvl>
    <w:lvl w:ilvl="6" w:tplc="73B687E2">
      <w:start w:val="1"/>
      <w:numFmt w:val="decimal"/>
      <w:lvlText w:val="%7."/>
      <w:lvlJc w:val="left"/>
      <w:pPr>
        <w:ind w:left="5040" w:hanging="360"/>
      </w:pPr>
    </w:lvl>
    <w:lvl w:ilvl="7" w:tplc="7256CDBE">
      <w:start w:val="1"/>
      <w:numFmt w:val="lowerLetter"/>
      <w:lvlText w:val="%8."/>
      <w:lvlJc w:val="left"/>
      <w:pPr>
        <w:ind w:left="5760" w:hanging="360"/>
      </w:pPr>
    </w:lvl>
    <w:lvl w:ilvl="8" w:tplc="87DEB060">
      <w:start w:val="1"/>
      <w:numFmt w:val="lowerRoman"/>
      <w:lvlText w:val="%9."/>
      <w:lvlJc w:val="right"/>
      <w:pPr>
        <w:ind w:left="6480" w:hanging="180"/>
      </w:pPr>
    </w:lvl>
  </w:abstractNum>
  <w:abstractNum w:abstractNumId="1" w15:restartNumberingAfterBreak="0">
    <w:nsid w:val="5460355A"/>
    <w:multiLevelType w:val="hybridMultilevel"/>
    <w:tmpl w:val="47C83E8E"/>
    <w:lvl w:ilvl="0" w:tplc="563CA314">
      <w:start w:val="1"/>
      <w:numFmt w:val="bullet"/>
      <w:lvlText w:val=""/>
      <w:lvlJc w:val="left"/>
      <w:pPr>
        <w:ind w:left="720" w:hanging="360"/>
      </w:pPr>
      <w:rPr>
        <w:rFonts w:ascii="Symbol" w:hAnsi="Symbol" w:hint="default"/>
      </w:rPr>
    </w:lvl>
    <w:lvl w:ilvl="1" w:tplc="CD68949E">
      <w:start w:val="1"/>
      <w:numFmt w:val="bullet"/>
      <w:lvlText w:val="o"/>
      <w:lvlJc w:val="left"/>
      <w:pPr>
        <w:ind w:left="1440" w:hanging="360"/>
      </w:pPr>
      <w:rPr>
        <w:rFonts w:ascii="Courier New" w:hAnsi="Courier New" w:hint="default"/>
      </w:rPr>
    </w:lvl>
    <w:lvl w:ilvl="2" w:tplc="D602B860">
      <w:start w:val="1"/>
      <w:numFmt w:val="bullet"/>
      <w:lvlText w:val=""/>
      <w:lvlJc w:val="left"/>
      <w:pPr>
        <w:ind w:left="2160" w:hanging="360"/>
      </w:pPr>
      <w:rPr>
        <w:rFonts w:ascii="Wingdings" w:hAnsi="Wingdings" w:hint="default"/>
      </w:rPr>
    </w:lvl>
    <w:lvl w:ilvl="3" w:tplc="CCE89242">
      <w:start w:val="1"/>
      <w:numFmt w:val="bullet"/>
      <w:lvlText w:val=""/>
      <w:lvlJc w:val="left"/>
      <w:pPr>
        <w:ind w:left="2880" w:hanging="360"/>
      </w:pPr>
      <w:rPr>
        <w:rFonts w:ascii="Symbol" w:hAnsi="Symbol" w:hint="default"/>
      </w:rPr>
    </w:lvl>
    <w:lvl w:ilvl="4" w:tplc="60A06FAA">
      <w:start w:val="1"/>
      <w:numFmt w:val="bullet"/>
      <w:lvlText w:val="o"/>
      <w:lvlJc w:val="left"/>
      <w:pPr>
        <w:ind w:left="3600" w:hanging="360"/>
      </w:pPr>
      <w:rPr>
        <w:rFonts w:ascii="Courier New" w:hAnsi="Courier New" w:hint="default"/>
      </w:rPr>
    </w:lvl>
    <w:lvl w:ilvl="5" w:tplc="2962200A">
      <w:start w:val="1"/>
      <w:numFmt w:val="bullet"/>
      <w:lvlText w:val=""/>
      <w:lvlJc w:val="left"/>
      <w:pPr>
        <w:ind w:left="4320" w:hanging="360"/>
      </w:pPr>
      <w:rPr>
        <w:rFonts w:ascii="Wingdings" w:hAnsi="Wingdings" w:hint="default"/>
      </w:rPr>
    </w:lvl>
    <w:lvl w:ilvl="6" w:tplc="A710C288">
      <w:start w:val="1"/>
      <w:numFmt w:val="bullet"/>
      <w:lvlText w:val=""/>
      <w:lvlJc w:val="left"/>
      <w:pPr>
        <w:ind w:left="5040" w:hanging="360"/>
      </w:pPr>
      <w:rPr>
        <w:rFonts w:ascii="Symbol" w:hAnsi="Symbol" w:hint="default"/>
      </w:rPr>
    </w:lvl>
    <w:lvl w:ilvl="7" w:tplc="6F28BDE2">
      <w:start w:val="1"/>
      <w:numFmt w:val="bullet"/>
      <w:lvlText w:val="o"/>
      <w:lvlJc w:val="left"/>
      <w:pPr>
        <w:ind w:left="5760" w:hanging="360"/>
      </w:pPr>
      <w:rPr>
        <w:rFonts w:ascii="Courier New" w:hAnsi="Courier New" w:hint="default"/>
      </w:rPr>
    </w:lvl>
    <w:lvl w:ilvl="8" w:tplc="3AC04F38">
      <w:start w:val="1"/>
      <w:numFmt w:val="bullet"/>
      <w:lvlText w:val=""/>
      <w:lvlJc w:val="left"/>
      <w:pPr>
        <w:ind w:left="6480" w:hanging="360"/>
      </w:pPr>
      <w:rPr>
        <w:rFonts w:ascii="Wingdings" w:hAnsi="Wingdings" w:hint="default"/>
      </w:rPr>
    </w:lvl>
  </w:abstractNum>
  <w:abstractNum w:abstractNumId="2" w15:restartNumberingAfterBreak="0">
    <w:nsid w:val="678525EF"/>
    <w:multiLevelType w:val="hybridMultilevel"/>
    <w:tmpl w:val="1BCA7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480433">
    <w:abstractNumId w:val="0"/>
  </w:num>
  <w:num w:numId="2" w16cid:durableId="1266494504">
    <w:abstractNumId w:val="1"/>
  </w:num>
  <w:num w:numId="3" w16cid:durableId="25082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33692"/>
    <w:rsid w:val="000F0589"/>
    <w:rsid w:val="001C78D5"/>
    <w:rsid w:val="001D0BE3"/>
    <w:rsid w:val="002466FF"/>
    <w:rsid w:val="002A1D78"/>
    <w:rsid w:val="002F1479"/>
    <w:rsid w:val="00374035"/>
    <w:rsid w:val="005D1488"/>
    <w:rsid w:val="00702E9B"/>
    <w:rsid w:val="00754D5F"/>
    <w:rsid w:val="007E7A83"/>
    <w:rsid w:val="0084269A"/>
    <w:rsid w:val="0086783E"/>
    <w:rsid w:val="008F2124"/>
    <w:rsid w:val="00917AC8"/>
    <w:rsid w:val="00964743"/>
    <w:rsid w:val="00A158C4"/>
    <w:rsid w:val="00A70D61"/>
    <w:rsid w:val="00B22FB7"/>
    <w:rsid w:val="00B3088C"/>
    <w:rsid w:val="00BA3BD0"/>
    <w:rsid w:val="00C9415B"/>
    <w:rsid w:val="00D1010D"/>
    <w:rsid w:val="00DF1BB8"/>
    <w:rsid w:val="00EA24B8"/>
    <w:rsid w:val="00EA36E8"/>
    <w:rsid w:val="00ED7819"/>
    <w:rsid w:val="00EE6E42"/>
    <w:rsid w:val="00F87D3D"/>
    <w:rsid w:val="057F7CE2"/>
    <w:rsid w:val="2A7D1B59"/>
    <w:rsid w:val="3AE9B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A7D1B59"/>
    <w:rPr>
      <w:color w:val="0563C1"/>
      <w:u w:val="single"/>
    </w:rPr>
  </w:style>
  <w:style w:type="paragraph" w:styleId="ListParagraph">
    <w:name w:val="List Paragraph"/>
    <w:basedOn w:val="Normal"/>
    <w:uiPriority w:val="34"/>
    <w:qFormat/>
    <w:rsid w:val="2A7D1B59"/>
    <w:pPr>
      <w:ind w:left="720"/>
      <w:contextualSpacing/>
    </w:pPr>
  </w:style>
  <w:style w:type="paragraph" w:styleId="Header">
    <w:name w:val="header"/>
    <w:basedOn w:val="Normal"/>
    <w:link w:val="HeaderChar"/>
    <w:uiPriority w:val="99"/>
    <w:unhideWhenUsed/>
    <w:rsid w:val="00C9415B"/>
    <w:pPr>
      <w:tabs>
        <w:tab w:val="center" w:pos="4680"/>
        <w:tab w:val="right" w:pos="9360"/>
      </w:tabs>
    </w:pPr>
  </w:style>
  <w:style w:type="character" w:customStyle="1" w:styleId="HeaderChar">
    <w:name w:val="Header Char"/>
    <w:basedOn w:val="DefaultParagraphFont"/>
    <w:link w:val="Header"/>
    <w:uiPriority w:val="99"/>
    <w:rsid w:val="00C9415B"/>
  </w:style>
  <w:style w:type="paragraph" w:styleId="Footer">
    <w:name w:val="footer"/>
    <w:basedOn w:val="Normal"/>
    <w:link w:val="FooterChar"/>
    <w:uiPriority w:val="99"/>
    <w:unhideWhenUsed/>
    <w:rsid w:val="00C9415B"/>
    <w:pPr>
      <w:tabs>
        <w:tab w:val="center" w:pos="4680"/>
        <w:tab w:val="right" w:pos="9360"/>
      </w:tabs>
    </w:pPr>
  </w:style>
  <w:style w:type="character" w:customStyle="1" w:styleId="FooterChar">
    <w:name w:val="Footer Char"/>
    <w:basedOn w:val="DefaultParagraphFont"/>
    <w:link w:val="Footer"/>
    <w:uiPriority w:val="99"/>
    <w:rsid w:val="00C9415B"/>
  </w:style>
  <w:style w:type="paragraph" w:styleId="Revision">
    <w:name w:val="Revision"/>
    <w:hidden/>
    <w:uiPriority w:val="99"/>
    <w:semiHidden/>
    <w:rsid w:val="00C9415B"/>
  </w:style>
  <w:style w:type="character" w:styleId="CommentReference">
    <w:name w:val="annotation reference"/>
    <w:basedOn w:val="DefaultParagraphFont"/>
    <w:uiPriority w:val="99"/>
    <w:semiHidden/>
    <w:unhideWhenUsed/>
    <w:rsid w:val="00C9415B"/>
    <w:rPr>
      <w:sz w:val="16"/>
      <w:szCs w:val="16"/>
    </w:rPr>
  </w:style>
  <w:style w:type="paragraph" w:styleId="CommentText">
    <w:name w:val="annotation text"/>
    <w:basedOn w:val="Normal"/>
    <w:link w:val="CommentTextChar"/>
    <w:uiPriority w:val="99"/>
    <w:semiHidden/>
    <w:unhideWhenUsed/>
    <w:rsid w:val="00C9415B"/>
    <w:rPr>
      <w:sz w:val="20"/>
      <w:szCs w:val="20"/>
    </w:rPr>
  </w:style>
  <w:style w:type="character" w:customStyle="1" w:styleId="CommentTextChar">
    <w:name w:val="Comment Text Char"/>
    <w:basedOn w:val="DefaultParagraphFont"/>
    <w:link w:val="CommentText"/>
    <w:uiPriority w:val="99"/>
    <w:semiHidden/>
    <w:rsid w:val="00C9415B"/>
    <w:rPr>
      <w:sz w:val="20"/>
      <w:szCs w:val="20"/>
    </w:rPr>
  </w:style>
  <w:style w:type="paragraph" w:styleId="CommentSubject">
    <w:name w:val="annotation subject"/>
    <w:basedOn w:val="CommentText"/>
    <w:next w:val="CommentText"/>
    <w:link w:val="CommentSubjectChar"/>
    <w:uiPriority w:val="99"/>
    <w:semiHidden/>
    <w:unhideWhenUsed/>
    <w:rsid w:val="00C9415B"/>
    <w:rPr>
      <w:b/>
      <w:bCs/>
    </w:rPr>
  </w:style>
  <w:style w:type="character" w:customStyle="1" w:styleId="CommentSubjectChar">
    <w:name w:val="Comment Subject Char"/>
    <w:basedOn w:val="CommentTextChar"/>
    <w:link w:val="CommentSubject"/>
    <w:uiPriority w:val="99"/>
    <w:semiHidden/>
    <w:rsid w:val="00C9415B"/>
    <w:rPr>
      <w:b/>
      <w:bCs/>
      <w:sz w:val="20"/>
      <w:szCs w:val="20"/>
    </w:rPr>
  </w:style>
  <w:style w:type="character" w:styleId="UnresolvedMention">
    <w:name w:val="Unresolved Mention"/>
    <w:basedOn w:val="DefaultParagraphFont"/>
    <w:uiPriority w:val="99"/>
    <w:rsid w:val="00374035"/>
    <w:rPr>
      <w:color w:val="605E5C"/>
      <w:shd w:val="clear" w:color="auto" w:fill="E1DFDD"/>
    </w:rPr>
  </w:style>
  <w:style w:type="character" w:styleId="FollowedHyperlink">
    <w:name w:val="FollowedHyperlink"/>
    <w:basedOn w:val="DefaultParagraphFont"/>
    <w:uiPriority w:val="99"/>
    <w:semiHidden/>
    <w:unhideWhenUsed/>
    <w:rsid w:val="002A1D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policyinca.org/publications/student-count-options-school-fundin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bellwether.org/wp-content/uploads/2025/03/SplittingtheBill_19_Bellwether_March2025.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cs.org/wp-content/uploads/Student-Counts-in-K-12-Funding-Models.pdf" TargetMode="External"/><Relationship Id="rId4" Type="http://schemas.openxmlformats.org/officeDocument/2006/relationships/webSettings" Target="webSettings.xml"/><Relationship Id="rId9" Type="http://schemas.openxmlformats.org/officeDocument/2006/relationships/hyperlink" Target="https://www.utep.edu/education/cerps/_files/docs/briefs/cerps_policybrief5_attendanc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782</Words>
  <Characters>4845</Characters>
  <Application>Microsoft Office Word</Application>
  <DocSecurity>0</DocSecurity>
  <Lines>97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Kim Sterin</cp:lastModifiedBy>
  <cp:revision>6</cp:revision>
  <dcterms:created xsi:type="dcterms:W3CDTF">2026-03-16T21:13:00Z</dcterms:created>
  <dcterms:modified xsi:type="dcterms:W3CDTF">2026-03-17T21:50:00Z</dcterms:modified>
</cp:coreProperties>
</file>